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D9" w:rsidRDefault="00D4144A" w:rsidP="00E84D81">
      <w:pPr>
        <w:autoSpaceDE w:val="0"/>
        <w:autoSpaceDN w:val="0"/>
        <w:adjustRightInd w:val="0"/>
        <w:spacing w:line="520" w:lineRule="exact"/>
        <w:jc w:val="center"/>
        <w:outlineLvl w:val="0"/>
        <w:rPr>
          <w:rFonts w:eastAsia="方正小标宋简体"/>
          <w:sz w:val="44"/>
          <w:szCs w:val="44"/>
        </w:rPr>
      </w:pPr>
      <w:r w:rsidRPr="00E84D81">
        <w:rPr>
          <w:rFonts w:eastAsia="方正小标宋简体"/>
          <w:sz w:val="44"/>
          <w:szCs w:val="44"/>
        </w:rPr>
        <w:t>面部注射填充材料临床试验</w:t>
      </w:r>
    </w:p>
    <w:p w:rsidR="00B877D9" w:rsidRDefault="00D4144A" w:rsidP="00E84D81">
      <w:pPr>
        <w:autoSpaceDE w:val="0"/>
        <w:autoSpaceDN w:val="0"/>
        <w:adjustRightInd w:val="0"/>
        <w:spacing w:line="520" w:lineRule="exact"/>
        <w:jc w:val="center"/>
        <w:outlineLvl w:val="0"/>
        <w:rPr>
          <w:rFonts w:eastAsia="方正小标宋简体"/>
          <w:sz w:val="44"/>
          <w:szCs w:val="44"/>
        </w:rPr>
      </w:pPr>
      <w:r w:rsidRPr="00E84D81">
        <w:rPr>
          <w:rFonts w:eastAsia="方正小标宋简体"/>
          <w:sz w:val="44"/>
          <w:szCs w:val="44"/>
        </w:rPr>
        <w:t>注册审查指导原则</w:t>
      </w:r>
    </w:p>
    <w:p w:rsidR="004E2B83" w:rsidRPr="00E84D81" w:rsidRDefault="00D4144A" w:rsidP="00E84D81">
      <w:pPr>
        <w:autoSpaceDE w:val="0"/>
        <w:autoSpaceDN w:val="0"/>
        <w:adjustRightInd w:val="0"/>
        <w:spacing w:line="520" w:lineRule="exact"/>
        <w:jc w:val="center"/>
        <w:outlineLvl w:val="0"/>
        <w:rPr>
          <w:rFonts w:eastAsia="方正小标宋简体"/>
          <w:sz w:val="44"/>
          <w:szCs w:val="44"/>
        </w:rPr>
      </w:pPr>
      <w:r w:rsidRPr="00E84D81">
        <w:rPr>
          <w:rFonts w:eastAsia="方正小标宋简体"/>
          <w:sz w:val="44"/>
          <w:szCs w:val="44"/>
        </w:rPr>
        <w:t>(</w:t>
      </w:r>
      <w:r w:rsidRPr="00E84D81">
        <w:rPr>
          <w:rFonts w:eastAsia="方正小标宋简体"/>
          <w:sz w:val="44"/>
          <w:szCs w:val="44"/>
        </w:rPr>
        <w:t>征求意见稿</w:t>
      </w:r>
      <w:r w:rsidRPr="00E84D81">
        <w:rPr>
          <w:rFonts w:eastAsia="方正小标宋简体"/>
          <w:sz w:val="44"/>
          <w:szCs w:val="44"/>
        </w:rPr>
        <w:t>)</w:t>
      </w:r>
    </w:p>
    <w:p w:rsidR="004E2B83" w:rsidRPr="00E84D81" w:rsidRDefault="004E2B83" w:rsidP="00E84D81">
      <w:pPr>
        <w:autoSpaceDE w:val="0"/>
        <w:autoSpaceDN w:val="0"/>
        <w:adjustRightInd w:val="0"/>
        <w:spacing w:line="520" w:lineRule="exact"/>
        <w:jc w:val="center"/>
        <w:rPr>
          <w:rFonts w:eastAsia="方正小标宋_GBK"/>
          <w:sz w:val="44"/>
          <w:szCs w:val="44"/>
        </w:rPr>
      </w:pPr>
    </w:p>
    <w:p w:rsidR="004E2B83" w:rsidRPr="00E84D81" w:rsidRDefault="00D4144A" w:rsidP="00E84D81">
      <w:pPr>
        <w:overflowPunct w:val="0"/>
        <w:autoSpaceDE w:val="0"/>
        <w:autoSpaceDN w:val="0"/>
        <w:adjustRightInd w:val="0"/>
        <w:spacing w:line="520" w:lineRule="exact"/>
        <w:ind w:firstLineChars="200" w:firstLine="640"/>
        <w:rPr>
          <w:rFonts w:eastAsia="仿宋_GB2312"/>
          <w:sz w:val="32"/>
          <w:szCs w:val="32"/>
        </w:rPr>
      </w:pPr>
      <w:r w:rsidRPr="00E84D81">
        <w:rPr>
          <w:rFonts w:eastAsia="仿宋_GB2312"/>
          <w:sz w:val="32"/>
          <w:szCs w:val="32"/>
        </w:rPr>
        <w:t>为了进一步规范面部注射填充材料产品上市前的临床试验，并指导该类产品注册申请人在申请产品注册时临床试验资料的准备，特制订本指导原则。</w:t>
      </w:r>
    </w:p>
    <w:p w:rsidR="004E2B83" w:rsidRPr="00CA5B54" w:rsidRDefault="00CA5B54" w:rsidP="00CA5B54">
      <w:pPr>
        <w:overflowPunct w:val="0"/>
        <w:spacing w:line="520" w:lineRule="exact"/>
        <w:ind w:firstLineChars="200" w:firstLine="640"/>
        <w:rPr>
          <w:rFonts w:eastAsia="仿宋_GB2312"/>
          <w:sz w:val="32"/>
          <w:szCs w:val="32"/>
        </w:rPr>
      </w:pPr>
      <w:r w:rsidRPr="00CA5B54">
        <w:rPr>
          <w:rFonts w:eastAsia="仿宋_GB2312"/>
          <w:sz w:val="32"/>
          <w:szCs w:val="32"/>
        </w:rPr>
        <w:t>本指导原则是供注册申请人和技术审评人员的指导性文件，但不包括注册审批所涉及的行政事项，亦不作为法规强制执行，需在遵循相关法规和强制性标准的前提下使用本指导原则。</w:t>
      </w:r>
      <w:r w:rsidR="00D4144A" w:rsidRPr="00E84D81">
        <w:rPr>
          <w:rFonts w:eastAsia="仿宋_GB2312"/>
          <w:kern w:val="0"/>
          <w:sz w:val="32"/>
          <w:szCs w:val="32"/>
        </w:rPr>
        <w:t>本指导原则系对面部注射填充材料临床试验的一般要求，注册申请人应依据具体产品的特性对临床试验资料的内容进行充实和细化，并依据具体产品的特性确定其中的具体内容是否适用。如果有能够满足相关法规要求的其他方法，也可以采用，但是需要提供详细的研究资料和验证资料。应在遵循相关法规和标准的前提下使用本指导原则。</w:t>
      </w:r>
    </w:p>
    <w:p w:rsidR="004E2B83" w:rsidRPr="00E84D81" w:rsidRDefault="00D4144A" w:rsidP="00E84D81">
      <w:pPr>
        <w:overflowPunct w:val="0"/>
        <w:autoSpaceDE w:val="0"/>
        <w:autoSpaceDN w:val="0"/>
        <w:adjustRightInd w:val="0"/>
        <w:spacing w:line="520" w:lineRule="exact"/>
        <w:ind w:firstLineChars="200" w:firstLine="640"/>
        <w:rPr>
          <w:rFonts w:eastAsia="仿宋_GB2312"/>
          <w:sz w:val="32"/>
          <w:szCs w:val="32"/>
        </w:rPr>
      </w:pPr>
      <w:r w:rsidRPr="00E84D81">
        <w:rPr>
          <w:rFonts w:eastAsia="仿宋_GB2312"/>
          <w:kern w:val="0"/>
          <w:sz w:val="32"/>
          <w:szCs w:val="32"/>
        </w:rPr>
        <w:t>本指导原则是在现行法规和标准体系以及当前认知水平下制定的。随着面部注射填充材料相关技术的进步、临床医学相关诊疗技术的发展、法规和标准的不断更新，本指导原则</w:t>
      </w:r>
      <w:r w:rsidRPr="00E84D81">
        <w:rPr>
          <w:rFonts w:eastAsia="仿宋_GB2312"/>
          <w:sz w:val="32"/>
          <w:szCs w:val="32"/>
        </w:rPr>
        <w:t>还会不断地进行完善和修订。</w:t>
      </w:r>
    </w:p>
    <w:p w:rsidR="004E2B83" w:rsidRPr="00E84D81" w:rsidRDefault="00D4144A" w:rsidP="00E84D81">
      <w:pPr>
        <w:overflowPunct w:val="0"/>
        <w:autoSpaceDE w:val="0"/>
        <w:autoSpaceDN w:val="0"/>
        <w:adjustRightInd w:val="0"/>
        <w:spacing w:line="520" w:lineRule="exact"/>
        <w:ind w:firstLineChars="200" w:firstLine="640"/>
        <w:outlineLvl w:val="0"/>
        <w:rPr>
          <w:rFonts w:eastAsia="黑体"/>
          <w:kern w:val="0"/>
          <w:sz w:val="32"/>
          <w:szCs w:val="32"/>
        </w:rPr>
      </w:pPr>
      <w:r w:rsidRPr="00E84D81">
        <w:rPr>
          <w:rFonts w:eastAsia="黑体"/>
          <w:kern w:val="0"/>
          <w:sz w:val="32"/>
          <w:szCs w:val="32"/>
        </w:rPr>
        <w:t>一、适用范围</w:t>
      </w:r>
    </w:p>
    <w:p w:rsidR="004E2B83" w:rsidRPr="00E84D81" w:rsidRDefault="00D4144A" w:rsidP="0057272D">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本指导原则适用于整形用</w:t>
      </w:r>
      <w:r w:rsidR="00D80DE5">
        <w:rPr>
          <w:rFonts w:eastAsia="仿宋_GB2312" w:hint="eastAsia"/>
          <w:kern w:val="0"/>
          <w:sz w:val="32"/>
          <w:szCs w:val="32"/>
        </w:rPr>
        <w:t>面部</w:t>
      </w:r>
      <w:r w:rsidRPr="00E84D81">
        <w:rPr>
          <w:rFonts w:eastAsia="仿宋_GB2312"/>
          <w:kern w:val="0"/>
          <w:sz w:val="32"/>
          <w:szCs w:val="32"/>
        </w:rPr>
        <w:t>注射填充物，预期注射到真皮层和</w:t>
      </w:r>
      <w:r w:rsidRPr="00E84D81">
        <w:rPr>
          <w:rFonts w:eastAsia="仿宋_GB2312"/>
          <w:kern w:val="0"/>
          <w:sz w:val="32"/>
          <w:szCs w:val="32"/>
        </w:rPr>
        <w:t>/</w:t>
      </w:r>
      <w:r w:rsidR="00842FE9">
        <w:rPr>
          <w:rFonts w:eastAsia="仿宋_GB2312"/>
          <w:kern w:val="0"/>
          <w:sz w:val="32"/>
          <w:szCs w:val="32"/>
        </w:rPr>
        <w:t>或皮下组织</w:t>
      </w:r>
      <w:r w:rsidR="00842FE9">
        <w:rPr>
          <w:rFonts w:eastAsia="仿宋_GB2312" w:hint="eastAsia"/>
          <w:kern w:val="0"/>
          <w:sz w:val="32"/>
          <w:szCs w:val="32"/>
        </w:rPr>
        <w:t>、骨膜上层</w:t>
      </w:r>
      <w:r w:rsidRPr="00E84D81">
        <w:rPr>
          <w:rFonts w:eastAsia="仿宋_GB2312"/>
          <w:kern w:val="0"/>
          <w:sz w:val="32"/>
          <w:szCs w:val="32"/>
        </w:rPr>
        <w:t>以填充增加组织容积</w:t>
      </w:r>
      <w:r w:rsidR="00BB76BB">
        <w:rPr>
          <w:rFonts w:eastAsia="仿宋_GB2312" w:hint="eastAsia"/>
          <w:kern w:val="0"/>
          <w:sz w:val="32"/>
          <w:szCs w:val="32"/>
        </w:rPr>
        <w:t>，</w:t>
      </w:r>
      <w:r w:rsidR="0057272D" w:rsidRPr="0057272D">
        <w:rPr>
          <w:rFonts w:eastAsia="仿宋_GB2312" w:hint="eastAsia"/>
          <w:kern w:val="0"/>
          <w:sz w:val="32"/>
          <w:szCs w:val="32"/>
        </w:rPr>
        <w:t>具体包括以下产品：</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用于纠正鼻唇沟皱纹（真皮中层及深层、皮下组织浅层）、</w:t>
      </w:r>
      <w:r w:rsidR="00842FE9">
        <w:rPr>
          <w:rFonts w:eastAsia="仿宋_GB2312"/>
          <w:sz w:val="32"/>
          <w:szCs w:val="32"/>
        </w:rPr>
        <w:t>改善外鼻体积及形态（骨膜上层</w:t>
      </w:r>
      <w:r w:rsidRPr="00E84D81">
        <w:rPr>
          <w:rFonts w:eastAsia="仿宋_GB2312"/>
          <w:sz w:val="32"/>
          <w:szCs w:val="32"/>
        </w:rPr>
        <w:t>）</w:t>
      </w:r>
      <w:r w:rsidRPr="00E84D81">
        <w:rPr>
          <w:rFonts w:eastAsia="仿宋_GB2312"/>
          <w:kern w:val="0"/>
          <w:sz w:val="32"/>
          <w:szCs w:val="32"/>
        </w:rPr>
        <w:t>、</w:t>
      </w:r>
      <w:r w:rsidRPr="00E84D81">
        <w:rPr>
          <w:rFonts w:eastAsia="仿宋_GB2312"/>
          <w:sz w:val="32"/>
          <w:szCs w:val="32"/>
        </w:rPr>
        <w:t>矫正中面部容量</w:t>
      </w:r>
      <w:r w:rsidRPr="00E84D81">
        <w:rPr>
          <w:rFonts w:eastAsia="仿宋_GB2312"/>
          <w:sz w:val="32"/>
          <w:szCs w:val="32"/>
        </w:rPr>
        <w:lastRenderedPageBreak/>
        <w:t>缺失和</w:t>
      </w:r>
      <w:r w:rsidRPr="00E84D81">
        <w:rPr>
          <w:rFonts w:eastAsia="仿宋_GB2312"/>
          <w:sz w:val="32"/>
          <w:szCs w:val="32"/>
        </w:rPr>
        <w:t>/</w:t>
      </w:r>
      <w:r w:rsidRPr="00E84D81">
        <w:rPr>
          <w:rFonts w:eastAsia="仿宋_GB2312"/>
          <w:sz w:val="32"/>
          <w:szCs w:val="32"/>
        </w:rPr>
        <w:t>或中面部轮廓缺陷（皮下</w:t>
      </w:r>
      <w:r w:rsidR="00190F33">
        <w:rPr>
          <w:rFonts w:eastAsia="仿宋_GB2312" w:hint="eastAsia"/>
          <w:sz w:val="32"/>
          <w:szCs w:val="32"/>
        </w:rPr>
        <w:t>组织</w:t>
      </w:r>
      <w:r w:rsidRPr="00E84D81">
        <w:rPr>
          <w:rFonts w:eastAsia="仿宋_GB2312"/>
          <w:sz w:val="32"/>
          <w:szCs w:val="32"/>
        </w:rPr>
        <w:t>和</w:t>
      </w:r>
      <w:r w:rsidRPr="00E84D81">
        <w:rPr>
          <w:rFonts w:eastAsia="仿宋_GB2312"/>
          <w:sz w:val="32"/>
          <w:szCs w:val="32"/>
        </w:rPr>
        <w:t>/</w:t>
      </w:r>
      <w:r w:rsidRPr="00E84D81">
        <w:rPr>
          <w:rFonts w:eastAsia="仿宋_GB2312"/>
          <w:sz w:val="32"/>
          <w:szCs w:val="32"/>
        </w:rPr>
        <w:t>或</w:t>
      </w:r>
      <w:r w:rsidR="00842FE9">
        <w:rPr>
          <w:rFonts w:eastAsia="仿宋_GB2312"/>
          <w:sz w:val="32"/>
          <w:szCs w:val="32"/>
        </w:rPr>
        <w:t>骨膜上层</w:t>
      </w:r>
      <w:r w:rsidRPr="00E84D81">
        <w:rPr>
          <w:rFonts w:eastAsia="仿宋_GB2312"/>
          <w:sz w:val="32"/>
          <w:szCs w:val="32"/>
        </w:rPr>
        <w:t>）</w:t>
      </w:r>
      <w:r w:rsidRPr="00E84D81">
        <w:rPr>
          <w:rFonts w:eastAsia="仿宋_GB2312"/>
          <w:kern w:val="0"/>
          <w:sz w:val="32"/>
          <w:szCs w:val="32"/>
        </w:rPr>
        <w:t>、</w:t>
      </w:r>
      <w:r w:rsidRPr="00E84D81">
        <w:rPr>
          <w:rFonts w:eastAsia="仿宋_GB2312"/>
          <w:sz w:val="32"/>
          <w:szCs w:val="32"/>
        </w:rPr>
        <w:t>矫正唇部不对称或轮廓畸形及唇部容积缺损等结构缺陷（唇红体和唇红缘的唇粘膜</w:t>
      </w:r>
      <w:r w:rsidR="00A6711E">
        <w:rPr>
          <w:rFonts w:eastAsia="仿宋_GB2312" w:hint="eastAsia"/>
          <w:sz w:val="32"/>
          <w:szCs w:val="32"/>
        </w:rPr>
        <w:t>下层</w:t>
      </w:r>
      <w:r w:rsidRPr="00E84D81">
        <w:rPr>
          <w:rFonts w:eastAsia="仿宋_GB2312"/>
          <w:sz w:val="32"/>
          <w:szCs w:val="32"/>
        </w:rPr>
        <w:t>、真皮浅层或中层）、</w:t>
      </w:r>
      <w:r w:rsidRPr="00E84D81">
        <w:rPr>
          <w:rFonts w:eastAsia="仿宋_GB2312"/>
          <w:kern w:val="0"/>
          <w:sz w:val="32"/>
          <w:szCs w:val="32"/>
        </w:rPr>
        <w:t>改善轻度至中度下颌后缩患者下颌轮廓</w:t>
      </w:r>
      <w:r w:rsidR="00BF381B">
        <w:rPr>
          <w:rFonts w:eastAsia="仿宋_GB2312" w:hint="eastAsia"/>
          <w:kern w:val="0"/>
          <w:sz w:val="32"/>
          <w:szCs w:val="32"/>
        </w:rPr>
        <w:t>（</w:t>
      </w:r>
      <w:r w:rsidR="00842FE9">
        <w:rPr>
          <w:rFonts w:eastAsia="仿宋_GB2312"/>
          <w:kern w:val="0"/>
          <w:sz w:val="32"/>
          <w:szCs w:val="32"/>
        </w:rPr>
        <w:t>骨膜上层</w:t>
      </w:r>
      <w:r w:rsidR="00BF381B">
        <w:rPr>
          <w:rFonts w:eastAsia="仿宋_GB2312" w:hint="eastAsia"/>
          <w:kern w:val="0"/>
          <w:sz w:val="32"/>
          <w:szCs w:val="32"/>
        </w:rPr>
        <w:t>）</w:t>
      </w:r>
      <w:r w:rsidRPr="00E84D81">
        <w:rPr>
          <w:rFonts w:eastAsia="仿宋_GB2312"/>
          <w:kern w:val="0"/>
          <w:sz w:val="32"/>
          <w:szCs w:val="32"/>
        </w:rPr>
        <w:t>的注射用透明质酸钠凝胶（包括经化学交联，不包括复合溶液）；</w:t>
      </w:r>
    </w:p>
    <w:p w:rsidR="004E2B83" w:rsidRPr="00BF381B"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用于纠正鼻唇沟皱纹</w:t>
      </w:r>
      <w:r w:rsidRPr="00BF381B">
        <w:rPr>
          <w:rFonts w:eastAsia="仿宋_GB2312"/>
          <w:kern w:val="0"/>
          <w:sz w:val="32"/>
          <w:szCs w:val="32"/>
        </w:rPr>
        <w:t>（真皮组织）、纠正额部动力性皱纹（真皮组织）的</w:t>
      </w:r>
      <w:r w:rsidR="005A0117" w:rsidRPr="00BF381B">
        <w:rPr>
          <w:rFonts w:eastAsia="仿宋_GB2312"/>
          <w:kern w:val="0"/>
          <w:sz w:val="32"/>
          <w:szCs w:val="32"/>
        </w:rPr>
        <w:t>动物源</w:t>
      </w:r>
      <w:r w:rsidRPr="00BF381B">
        <w:rPr>
          <w:rFonts w:eastAsia="仿宋_GB2312"/>
          <w:kern w:val="0"/>
          <w:sz w:val="32"/>
          <w:szCs w:val="32"/>
        </w:rPr>
        <w:t>胶原蛋白</w:t>
      </w:r>
      <w:r w:rsidR="005A0117" w:rsidRPr="00BF381B">
        <w:rPr>
          <w:rFonts w:eastAsia="仿宋_GB2312"/>
          <w:kern w:val="0"/>
          <w:sz w:val="32"/>
          <w:szCs w:val="32"/>
        </w:rPr>
        <w:t>产品</w:t>
      </w:r>
      <w:r w:rsidRPr="00BF381B">
        <w:rPr>
          <w:rFonts w:eastAsia="仿宋_GB2312"/>
          <w:kern w:val="0"/>
          <w:sz w:val="32"/>
          <w:szCs w:val="32"/>
        </w:rPr>
        <w:t>、用于纠正额部动力性皱纹（真皮组织）的重组</w:t>
      </w:r>
      <w:r w:rsidRPr="00BF381B">
        <w:rPr>
          <w:rFonts w:eastAsia="仿宋_GB2312"/>
          <w:kern w:val="0"/>
          <w:sz w:val="32"/>
          <w:szCs w:val="32"/>
        </w:rPr>
        <w:t>Ⅲ</w:t>
      </w:r>
      <w:r w:rsidRPr="00BF381B">
        <w:rPr>
          <w:rFonts w:eastAsia="仿宋_GB2312"/>
          <w:kern w:val="0"/>
          <w:sz w:val="32"/>
          <w:szCs w:val="32"/>
        </w:rPr>
        <w:t>型人源化胶原蛋白产品；</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BF381B">
        <w:rPr>
          <w:rFonts w:eastAsia="仿宋_GB2312"/>
          <w:kern w:val="0"/>
          <w:sz w:val="32"/>
          <w:szCs w:val="32"/>
        </w:rPr>
        <w:t>用于</w:t>
      </w:r>
      <w:r w:rsidR="00842FE9" w:rsidRPr="00BF381B">
        <w:rPr>
          <w:rFonts w:eastAsia="仿宋_GB2312"/>
          <w:sz w:val="32"/>
          <w:szCs w:val="32"/>
        </w:rPr>
        <w:t>改善外鼻体积及形态（骨膜</w:t>
      </w:r>
      <w:r w:rsidR="00842FE9">
        <w:rPr>
          <w:rFonts w:eastAsia="仿宋_GB2312"/>
          <w:sz w:val="32"/>
          <w:szCs w:val="32"/>
        </w:rPr>
        <w:t>上层</w:t>
      </w:r>
      <w:r w:rsidRPr="00E84D81">
        <w:rPr>
          <w:rFonts w:eastAsia="仿宋_GB2312"/>
          <w:sz w:val="32"/>
          <w:szCs w:val="32"/>
        </w:rPr>
        <w:t>）的整形用胶原和聚甲基丙烯酸甲酯皮下植入物系统；</w:t>
      </w:r>
    </w:p>
    <w:p w:rsidR="004E2B83"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用于纠正鼻唇沟皱纹</w:t>
      </w:r>
      <w:r w:rsidR="00BF381B">
        <w:rPr>
          <w:rFonts w:eastAsia="仿宋_GB2312" w:hint="eastAsia"/>
          <w:kern w:val="0"/>
          <w:sz w:val="32"/>
          <w:szCs w:val="32"/>
        </w:rPr>
        <w:t>（</w:t>
      </w:r>
      <w:r w:rsidR="00BF381B" w:rsidRPr="00E84D81">
        <w:rPr>
          <w:rFonts w:eastAsia="仿宋_GB2312"/>
          <w:kern w:val="0"/>
          <w:sz w:val="32"/>
          <w:szCs w:val="32"/>
        </w:rPr>
        <w:t>真皮深层</w:t>
      </w:r>
      <w:r w:rsidR="00BF381B">
        <w:rPr>
          <w:rFonts w:eastAsia="仿宋_GB2312" w:hint="eastAsia"/>
          <w:kern w:val="0"/>
          <w:sz w:val="32"/>
          <w:szCs w:val="32"/>
        </w:rPr>
        <w:t>）</w:t>
      </w:r>
      <w:r w:rsidRPr="00E84D81">
        <w:rPr>
          <w:rFonts w:eastAsia="仿宋_GB2312"/>
          <w:kern w:val="0"/>
          <w:sz w:val="32"/>
          <w:szCs w:val="32"/>
        </w:rPr>
        <w:t>的聚左旋乳酸面部填充剂、用于纠正鼻唇沟皱纹</w:t>
      </w:r>
      <w:r w:rsidR="00BF381B">
        <w:rPr>
          <w:rFonts w:eastAsia="仿宋_GB2312" w:hint="eastAsia"/>
          <w:kern w:val="0"/>
          <w:sz w:val="32"/>
          <w:szCs w:val="32"/>
        </w:rPr>
        <w:t>（</w:t>
      </w:r>
      <w:r w:rsidRPr="00E84D81">
        <w:rPr>
          <w:rFonts w:eastAsia="仿宋_GB2312"/>
          <w:kern w:val="0"/>
          <w:sz w:val="32"/>
          <w:szCs w:val="32"/>
        </w:rPr>
        <w:t>皮下</w:t>
      </w:r>
      <w:r w:rsidR="00842FE9">
        <w:rPr>
          <w:rFonts w:eastAsia="仿宋_GB2312" w:hint="eastAsia"/>
          <w:kern w:val="0"/>
          <w:sz w:val="32"/>
          <w:szCs w:val="32"/>
        </w:rPr>
        <w:t>组织</w:t>
      </w:r>
      <w:r w:rsidR="00BF381B">
        <w:rPr>
          <w:rFonts w:eastAsia="仿宋_GB2312" w:hint="eastAsia"/>
          <w:kern w:val="0"/>
          <w:sz w:val="32"/>
          <w:szCs w:val="32"/>
        </w:rPr>
        <w:t>）</w:t>
      </w:r>
      <w:r w:rsidRPr="00E84D81">
        <w:rPr>
          <w:rFonts w:eastAsia="仿宋_GB2312"/>
          <w:kern w:val="0"/>
          <w:sz w:val="32"/>
          <w:szCs w:val="32"/>
        </w:rPr>
        <w:t>的聚己内酯面部填充剂。</w:t>
      </w:r>
    </w:p>
    <w:p w:rsidR="0057272D" w:rsidRPr="0057272D" w:rsidRDefault="0057272D" w:rsidP="0057272D">
      <w:pPr>
        <w:overflowPunct w:val="0"/>
        <w:autoSpaceDE w:val="0"/>
        <w:autoSpaceDN w:val="0"/>
        <w:adjustRightInd w:val="0"/>
        <w:spacing w:line="520" w:lineRule="exact"/>
        <w:ind w:firstLineChars="200" w:firstLine="640"/>
        <w:rPr>
          <w:rFonts w:eastAsia="仿宋_GB2312"/>
          <w:kern w:val="0"/>
          <w:sz w:val="32"/>
          <w:szCs w:val="32"/>
        </w:rPr>
      </w:pPr>
      <w:r w:rsidRPr="0057272D">
        <w:rPr>
          <w:rFonts w:eastAsia="仿宋_GB2312" w:hint="eastAsia"/>
          <w:kern w:val="0"/>
          <w:sz w:val="32"/>
          <w:szCs w:val="32"/>
        </w:rPr>
        <w:t>按现行《医疗器械分类目录》，该类产品分类编码为</w:t>
      </w:r>
      <w:r w:rsidRPr="0057272D">
        <w:rPr>
          <w:rFonts w:eastAsia="仿宋_GB2312" w:hint="eastAsia"/>
          <w:kern w:val="0"/>
          <w:sz w:val="32"/>
          <w:szCs w:val="32"/>
        </w:rPr>
        <w:t>13-09-02</w:t>
      </w:r>
      <w:r w:rsidRPr="0057272D">
        <w:rPr>
          <w:rFonts w:eastAsia="仿宋_GB2312" w:hint="eastAsia"/>
          <w:kern w:val="0"/>
          <w:sz w:val="32"/>
          <w:szCs w:val="32"/>
        </w:rPr>
        <w:t>，管理类别为</w:t>
      </w:r>
      <w:r w:rsidRPr="0057272D">
        <w:rPr>
          <w:rFonts w:eastAsia="仿宋_GB2312" w:hint="eastAsia"/>
          <w:kern w:val="0"/>
          <w:sz w:val="32"/>
          <w:szCs w:val="32"/>
        </w:rPr>
        <w:t>III</w:t>
      </w:r>
      <w:r w:rsidRPr="0057272D">
        <w:rPr>
          <w:rFonts w:eastAsia="仿宋_GB2312" w:hint="eastAsia"/>
          <w:kern w:val="0"/>
          <w:sz w:val="32"/>
          <w:szCs w:val="32"/>
        </w:rPr>
        <w:t>类。</w:t>
      </w:r>
    </w:p>
    <w:p w:rsidR="004E2B83" w:rsidRPr="00E84D81" w:rsidRDefault="00F54F69" w:rsidP="0057272D">
      <w:pPr>
        <w:overflowPunct w:val="0"/>
        <w:autoSpaceDE w:val="0"/>
        <w:autoSpaceDN w:val="0"/>
        <w:adjustRightInd w:val="0"/>
        <w:spacing w:line="520" w:lineRule="exact"/>
        <w:ind w:firstLineChars="200" w:firstLine="640"/>
        <w:rPr>
          <w:rFonts w:eastAsia="仿宋_GB2312"/>
          <w:kern w:val="0"/>
          <w:sz w:val="32"/>
          <w:szCs w:val="32"/>
        </w:rPr>
      </w:pPr>
      <w:r w:rsidRPr="00F54F69">
        <w:rPr>
          <w:rFonts w:eastAsia="仿宋_GB2312" w:hint="eastAsia"/>
          <w:kern w:val="0"/>
          <w:sz w:val="32"/>
          <w:szCs w:val="32"/>
        </w:rPr>
        <w:t>若申请人提交境外临床试验数据，需符合《接受医疗器械境外临床试验数据技术指导原则》的要求，例如考虑到与中国人群皮肤特征的相似度，境外临床试验需基于东亚人群开展，且符合本指导原则要求</w:t>
      </w:r>
      <w:r w:rsidR="00D4144A" w:rsidRPr="00E84D81">
        <w:rPr>
          <w:rFonts w:eastAsia="仿宋_GB2312"/>
          <w:kern w:val="0"/>
          <w:sz w:val="32"/>
          <w:szCs w:val="32"/>
        </w:rPr>
        <w:t>。</w:t>
      </w:r>
    </w:p>
    <w:p w:rsidR="004E2B83" w:rsidRPr="00E84D81" w:rsidRDefault="00D4144A" w:rsidP="00E84D81">
      <w:pPr>
        <w:overflowPunct w:val="0"/>
        <w:autoSpaceDE w:val="0"/>
        <w:autoSpaceDN w:val="0"/>
        <w:adjustRightInd w:val="0"/>
        <w:spacing w:line="520" w:lineRule="exact"/>
        <w:ind w:firstLineChars="200" w:firstLine="640"/>
        <w:outlineLvl w:val="0"/>
        <w:rPr>
          <w:rFonts w:eastAsia="黑体"/>
          <w:kern w:val="0"/>
          <w:sz w:val="32"/>
          <w:szCs w:val="32"/>
        </w:rPr>
      </w:pPr>
      <w:r w:rsidRPr="00E84D81">
        <w:rPr>
          <w:rFonts w:eastAsia="黑体"/>
          <w:kern w:val="0"/>
          <w:sz w:val="32"/>
          <w:szCs w:val="32"/>
        </w:rPr>
        <w:t>二、临床试验</w:t>
      </w:r>
    </w:p>
    <w:p w:rsidR="004E2B83" w:rsidRPr="00E84D81" w:rsidRDefault="00D4144A" w:rsidP="00E84D81">
      <w:pPr>
        <w:overflowPunct w:val="0"/>
        <w:autoSpaceDE w:val="0"/>
        <w:autoSpaceDN w:val="0"/>
        <w:adjustRightInd w:val="0"/>
        <w:spacing w:line="520" w:lineRule="exact"/>
        <w:ind w:firstLineChars="200" w:firstLine="640"/>
        <w:outlineLvl w:val="1"/>
        <w:rPr>
          <w:rFonts w:eastAsia="楷体_GB2312"/>
          <w:kern w:val="0"/>
          <w:sz w:val="32"/>
          <w:szCs w:val="32"/>
        </w:rPr>
      </w:pPr>
      <w:r w:rsidRPr="00E84D81">
        <w:rPr>
          <w:rFonts w:eastAsia="楷体_GB2312"/>
          <w:kern w:val="0"/>
          <w:sz w:val="32"/>
          <w:szCs w:val="32"/>
        </w:rPr>
        <w:t>（一）概述</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本部分内容仅提到了临床试验中需要注意的几个方面，而非提供一个完整临床试验方案或报告的模板。在境内进行的临床试验需按照《医疗器械临床试验质量管理规范》的要求，在具有资质的临床试验机构内开展，在申报注册时按照相关法规提交临床试验方案、临床试验报告等资料。</w:t>
      </w:r>
    </w:p>
    <w:p w:rsidR="004E2B83" w:rsidRPr="00E84D81" w:rsidRDefault="00D4144A" w:rsidP="00E84D81">
      <w:pPr>
        <w:overflowPunct w:val="0"/>
        <w:autoSpaceDE w:val="0"/>
        <w:autoSpaceDN w:val="0"/>
        <w:adjustRightInd w:val="0"/>
        <w:spacing w:line="520" w:lineRule="exact"/>
        <w:ind w:firstLineChars="200" w:firstLine="640"/>
        <w:outlineLvl w:val="1"/>
        <w:rPr>
          <w:rFonts w:eastAsia="楷体_GB2312"/>
          <w:kern w:val="0"/>
          <w:sz w:val="32"/>
          <w:szCs w:val="32"/>
        </w:rPr>
      </w:pPr>
      <w:r w:rsidRPr="00E84D81">
        <w:rPr>
          <w:rFonts w:eastAsia="楷体_GB2312"/>
          <w:kern w:val="0"/>
          <w:sz w:val="32"/>
          <w:szCs w:val="32"/>
        </w:rPr>
        <w:lastRenderedPageBreak/>
        <w:t>（二）</w:t>
      </w:r>
      <w:bookmarkStart w:id="0" w:name="_Hlk132636598"/>
      <w:r w:rsidRPr="00E84D81">
        <w:rPr>
          <w:rFonts w:eastAsia="楷体_GB2312"/>
          <w:kern w:val="0"/>
          <w:sz w:val="32"/>
          <w:szCs w:val="32"/>
        </w:rPr>
        <w:t>临床试验</w:t>
      </w:r>
      <w:bookmarkEnd w:id="0"/>
      <w:r w:rsidRPr="00E84D81">
        <w:rPr>
          <w:rFonts w:eastAsia="楷体_GB2312"/>
          <w:kern w:val="0"/>
          <w:sz w:val="32"/>
          <w:szCs w:val="32"/>
        </w:rPr>
        <w:t>前</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临床试验前，注册申请人需首先综合分析申报产品的适用范围、技术特征等因素，开展科学、严谨、充分、规范的临床前研究，全面确认产品的各项性能，充分降低并合理控制产品的临床使用风险，开展完善的临床前研究，包括论述产品作用机理的研究和验证资料，性能研究资料，动物试验研究以及风险分析等，且结果可以证明产品初步的安全性和可行性，能够支持实施申报产品的临床试验。</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开展临床试验，需遵守《世界医学大会赫尔辛基宣言》的伦理准则和国家涉及人的生物医学研究伦理的相关规范。按照《医疗器械临床试验质量管理规范》，临床试验</w:t>
      </w:r>
      <w:r w:rsidR="00F96BAA">
        <w:rPr>
          <w:rFonts w:eastAsia="仿宋_GB2312" w:hint="eastAsia"/>
          <w:kern w:val="0"/>
          <w:sz w:val="32"/>
          <w:szCs w:val="32"/>
        </w:rPr>
        <w:t>开展前</w:t>
      </w:r>
      <w:r w:rsidRPr="00E84D81">
        <w:rPr>
          <w:rFonts w:eastAsia="仿宋_GB2312"/>
          <w:kern w:val="0"/>
          <w:sz w:val="32"/>
          <w:szCs w:val="32"/>
        </w:rPr>
        <w:t>应当获得伦理委员会的同意。伦理委员会应切实担当职责，保护受试者合法权益和安全，维护受试者尊严，对申报产品临床试验的伦理性和科学性进行严格审查，包括申报产品的临床前研究是否完成，研究结果能否证明受试者可能遭受的风险与试验预期的受益相比是合适的；临床试验方案是否充分考虑了伦理原则，是否符合科学性，研究目的是否适当、受试者的权益和安全是否得到保障、其他人员可能遭受的风险是否得到充分保护；受试者是否因参加临床试验而获得合理补偿；受试者若发生与临床试验相关的伤害，给予的诊治和保障措施是否充分；对特殊人群受试者的保护是否充分等。</w:t>
      </w:r>
    </w:p>
    <w:p w:rsidR="004E2B83" w:rsidRPr="00E84D81" w:rsidRDefault="00D4144A" w:rsidP="00E84D81">
      <w:pPr>
        <w:overflowPunct w:val="0"/>
        <w:autoSpaceDE w:val="0"/>
        <w:autoSpaceDN w:val="0"/>
        <w:adjustRightInd w:val="0"/>
        <w:spacing w:line="520" w:lineRule="exact"/>
        <w:ind w:firstLineChars="200" w:firstLine="640"/>
        <w:outlineLvl w:val="1"/>
        <w:rPr>
          <w:rFonts w:eastAsia="楷体_GB2312"/>
          <w:kern w:val="0"/>
          <w:sz w:val="32"/>
          <w:szCs w:val="32"/>
        </w:rPr>
      </w:pPr>
      <w:r w:rsidRPr="00E84D81">
        <w:rPr>
          <w:rFonts w:eastAsia="楷体_GB2312"/>
          <w:kern w:val="0"/>
          <w:sz w:val="32"/>
          <w:szCs w:val="32"/>
        </w:rPr>
        <w:t>（三）临床试验总体设计</w:t>
      </w:r>
    </w:p>
    <w:p w:rsidR="00CA5B54" w:rsidRPr="00CA5B54"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以申请首次注册上市为目的的该类产品临床试验需是前瞻性、随机对照临床试验。根据设计预期的临床意义及试验医疗器械的性能选择合适的试验类型（优效</w:t>
      </w:r>
      <w:r w:rsidRPr="00E84D81">
        <w:rPr>
          <w:rFonts w:eastAsia="仿宋_GB2312"/>
          <w:kern w:val="0"/>
          <w:sz w:val="32"/>
          <w:szCs w:val="32"/>
        </w:rPr>
        <w:t>/</w:t>
      </w:r>
      <w:r w:rsidRPr="00E84D81">
        <w:rPr>
          <w:rFonts w:eastAsia="仿宋_GB2312"/>
          <w:kern w:val="0"/>
          <w:sz w:val="32"/>
          <w:szCs w:val="32"/>
        </w:rPr>
        <w:t>等效</w:t>
      </w:r>
      <w:r w:rsidRPr="00E84D81">
        <w:rPr>
          <w:rFonts w:eastAsia="仿宋_GB2312"/>
          <w:kern w:val="0"/>
          <w:sz w:val="32"/>
          <w:szCs w:val="32"/>
        </w:rPr>
        <w:t>/</w:t>
      </w:r>
      <w:r w:rsidRPr="00E84D81">
        <w:rPr>
          <w:rFonts w:eastAsia="仿宋_GB2312"/>
          <w:kern w:val="0"/>
          <w:sz w:val="32"/>
          <w:szCs w:val="32"/>
        </w:rPr>
        <w:t>非劣</w:t>
      </w:r>
      <w:r w:rsidRPr="00E84D81">
        <w:rPr>
          <w:rFonts w:eastAsia="仿宋_GB2312"/>
          <w:kern w:val="0"/>
          <w:sz w:val="32"/>
          <w:szCs w:val="32"/>
        </w:rPr>
        <w:lastRenderedPageBreak/>
        <w:t>效）。</w:t>
      </w:r>
      <w:r w:rsidR="00CA5B54" w:rsidRPr="00CA5B54">
        <w:rPr>
          <w:rFonts w:eastAsia="仿宋_GB2312"/>
          <w:kern w:val="0"/>
          <w:sz w:val="32"/>
          <w:szCs w:val="32"/>
        </w:rPr>
        <w:t>对于同一产品具有多个适应证时，建议针对不同适应证分别进行临床试验设计。</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建议采用</w:t>
      </w:r>
      <w:r w:rsidR="00F96BAA">
        <w:rPr>
          <w:rFonts w:eastAsia="仿宋_GB2312" w:hint="eastAsia"/>
          <w:kern w:val="0"/>
          <w:sz w:val="32"/>
          <w:szCs w:val="32"/>
        </w:rPr>
        <w:t>适用范围相同的</w:t>
      </w:r>
      <w:r w:rsidRPr="00E84D81">
        <w:rPr>
          <w:rFonts w:eastAsia="仿宋_GB2312"/>
          <w:kern w:val="0"/>
          <w:sz w:val="32"/>
          <w:szCs w:val="32"/>
        </w:rPr>
        <w:t>已上市同类产品作为对照医疗器械，优先选择与试验医疗器械组成成分、产品性能相似的产品作为对照医疗器械。如选择空白对照，需重点考虑临床试验的伦理性；试验应为优效设计，且临床评价资料可证明，申报产品的绝对效应和安全性指标评价不差于已上市同类产品。</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需尽可能地采用盲法以避免主观影响因素，如对受试者设盲及对第三方评价者设盲。如果可行，建议还应对注射操作者设盲。</w:t>
      </w:r>
    </w:p>
    <w:p w:rsidR="004E2B83" w:rsidRPr="00E84D81" w:rsidRDefault="00D4144A" w:rsidP="00E84D81">
      <w:pPr>
        <w:overflowPunct w:val="0"/>
        <w:autoSpaceDE w:val="0"/>
        <w:autoSpaceDN w:val="0"/>
        <w:adjustRightInd w:val="0"/>
        <w:spacing w:line="520" w:lineRule="exact"/>
        <w:ind w:firstLineChars="200" w:firstLine="640"/>
        <w:outlineLvl w:val="1"/>
        <w:rPr>
          <w:rFonts w:eastAsia="楷体_GB2312"/>
          <w:kern w:val="0"/>
          <w:sz w:val="32"/>
          <w:szCs w:val="32"/>
        </w:rPr>
      </w:pPr>
      <w:r w:rsidRPr="00E84D81">
        <w:rPr>
          <w:rFonts w:eastAsia="楷体_GB2312"/>
          <w:kern w:val="0"/>
          <w:sz w:val="32"/>
          <w:szCs w:val="32"/>
        </w:rPr>
        <w:t>（四）临床评价指标</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本部分仅对本指导原则提及的适应证进行举例讨论。</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w:t>
      </w:r>
      <w:r w:rsidRPr="00E84D81">
        <w:rPr>
          <w:rFonts w:eastAsia="仿宋_GB2312"/>
          <w:kern w:val="0"/>
          <w:sz w:val="32"/>
          <w:szCs w:val="32"/>
        </w:rPr>
        <w:t>主要有效性评价指标</w:t>
      </w:r>
    </w:p>
    <w:p w:rsidR="00C606F0" w:rsidRDefault="00D4144A" w:rsidP="00F54F69">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如对于注射用重组</w:t>
      </w:r>
      <w:r w:rsidRPr="00E84D81">
        <w:rPr>
          <w:rFonts w:eastAsia="仿宋_GB2312"/>
          <w:kern w:val="0"/>
          <w:sz w:val="32"/>
          <w:szCs w:val="32"/>
        </w:rPr>
        <w:t>Ⅲ</w:t>
      </w:r>
      <w:r w:rsidRPr="00E84D81">
        <w:rPr>
          <w:rFonts w:eastAsia="仿宋_GB2312"/>
          <w:kern w:val="0"/>
          <w:sz w:val="32"/>
          <w:szCs w:val="32"/>
        </w:rPr>
        <w:t>型人源化胶原蛋白溶液，若适用范围为该产品用于面部真皮组织填充以纠正额部动力性皱纹（包括眉间纹、额头纹和鱼尾纹）或对于聚乳酸面部填充剂产品，若适用范围为用于注射到真皮深层，以纠正中重度鼻唇沟皱纹。建议将所宣称的效果持续时间点上的对皱纹纠正的有效率设为主要有效性评价指标。</w:t>
      </w:r>
      <w:r w:rsidR="00F54F69" w:rsidRPr="00F54F69">
        <w:rPr>
          <w:rFonts w:eastAsia="仿宋_GB2312" w:hint="eastAsia"/>
          <w:kern w:val="0"/>
          <w:sz w:val="32"/>
          <w:szCs w:val="32"/>
        </w:rPr>
        <w:t>皱纹纠正有效率定义为，皱纹严重程度的分级（如</w:t>
      </w:r>
      <w:r w:rsidR="00F54F69" w:rsidRPr="00F54F69">
        <w:rPr>
          <w:rFonts w:eastAsia="仿宋_GB2312" w:hint="eastAsia"/>
          <w:kern w:val="0"/>
          <w:sz w:val="32"/>
          <w:szCs w:val="32"/>
        </w:rPr>
        <w:t>Wrinkle Severity Rating Scale, WSRS</w:t>
      </w:r>
      <w:r w:rsidR="00F54F69">
        <w:rPr>
          <w:rFonts w:eastAsia="仿宋_GB2312" w:hint="eastAsia"/>
          <w:kern w:val="0"/>
          <w:sz w:val="32"/>
          <w:szCs w:val="32"/>
        </w:rPr>
        <w:t>）较术前至少减轻一个等级的受试者例数百分比</w:t>
      </w:r>
      <w:r w:rsidRPr="00E84D81">
        <w:rPr>
          <w:rFonts w:eastAsia="仿宋_GB2312"/>
          <w:kern w:val="0"/>
          <w:sz w:val="32"/>
          <w:szCs w:val="32"/>
        </w:rPr>
        <w:t>。对于同一受试者的双侧数据，需明确取舍规则。表</w:t>
      </w:r>
      <w:r w:rsidRPr="00E84D81">
        <w:rPr>
          <w:rFonts w:eastAsia="仿宋_GB2312"/>
          <w:kern w:val="0"/>
          <w:sz w:val="32"/>
          <w:szCs w:val="32"/>
        </w:rPr>
        <w:t>1</w:t>
      </w:r>
      <w:r w:rsidRPr="00E84D81">
        <w:rPr>
          <w:rFonts w:eastAsia="仿宋_GB2312"/>
          <w:kern w:val="0"/>
          <w:sz w:val="32"/>
          <w:szCs w:val="32"/>
        </w:rPr>
        <w:t>提供了一个评价皱纹严重程度的量表示例。</w:t>
      </w:r>
    </w:p>
    <w:p w:rsidR="00C606F0" w:rsidRPr="00C606F0" w:rsidRDefault="00C606F0" w:rsidP="00E84D81">
      <w:pPr>
        <w:overflowPunct w:val="0"/>
        <w:autoSpaceDE w:val="0"/>
        <w:autoSpaceDN w:val="0"/>
        <w:adjustRightInd w:val="0"/>
        <w:spacing w:line="520" w:lineRule="exact"/>
        <w:ind w:firstLineChars="200" w:firstLine="640"/>
        <w:rPr>
          <w:rFonts w:eastAsia="仿宋_GB2312"/>
          <w:kern w:val="0"/>
          <w:sz w:val="32"/>
          <w:szCs w:val="32"/>
        </w:rPr>
      </w:pPr>
    </w:p>
    <w:p w:rsidR="00C606F0" w:rsidRPr="00C139AA" w:rsidRDefault="00D4144A" w:rsidP="00E84D81">
      <w:pPr>
        <w:autoSpaceDE w:val="0"/>
        <w:autoSpaceDN w:val="0"/>
        <w:adjustRightInd w:val="0"/>
        <w:spacing w:line="520" w:lineRule="exact"/>
        <w:jc w:val="center"/>
        <w:rPr>
          <w:rFonts w:eastAsia="黑体"/>
          <w:kern w:val="0"/>
          <w:sz w:val="28"/>
          <w:szCs w:val="32"/>
        </w:rPr>
      </w:pPr>
      <w:r w:rsidRPr="00E84D81">
        <w:rPr>
          <w:rFonts w:eastAsia="黑体"/>
          <w:kern w:val="0"/>
          <w:sz w:val="28"/>
          <w:szCs w:val="32"/>
        </w:rPr>
        <w:t>表</w:t>
      </w:r>
      <w:r w:rsidRPr="00E84D81">
        <w:rPr>
          <w:rFonts w:eastAsia="黑体"/>
          <w:kern w:val="0"/>
          <w:sz w:val="28"/>
          <w:szCs w:val="32"/>
        </w:rPr>
        <w:t xml:space="preserve">1 </w:t>
      </w:r>
      <w:r w:rsidRPr="00E84D81">
        <w:rPr>
          <w:rFonts w:eastAsia="黑体"/>
          <w:kern w:val="0"/>
          <w:sz w:val="28"/>
          <w:szCs w:val="32"/>
        </w:rPr>
        <w:t>评价皱纹严重程度参考量表（示例）</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008"/>
        <w:gridCol w:w="1260"/>
        <w:gridCol w:w="6254"/>
      </w:tblGrid>
      <w:tr w:rsidR="004E2B83" w:rsidRPr="00E84D81">
        <w:trPr>
          <w:trHeight w:val="454"/>
          <w:jc w:val="center"/>
        </w:trPr>
        <w:tc>
          <w:tcPr>
            <w:tcW w:w="1008"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lastRenderedPageBreak/>
              <w:t>分级</w:t>
            </w:r>
          </w:p>
        </w:tc>
        <w:tc>
          <w:tcPr>
            <w:tcW w:w="1260"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评价</w:t>
            </w:r>
          </w:p>
        </w:tc>
        <w:tc>
          <w:tcPr>
            <w:tcW w:w="6254"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特征描述</w:t>
            </w:r>
          </w:p>
        </w:tc>
      </w:tr>
      <w:tr w:rsidR="004E2B83" w:rsidRPr="00E84D81">
        <w:trPr>
          <w:trHeight w:val="454"/>
          <w:jc w:val="center"/>
        </w:trPr>
        <w:tc>
          <w:tcPr>
            <w:tcW w:w="1008" w:type="dxa"/>
            <w:tcBorders>
              <w:top w:val="single" w:sz="4" w:space="0" w:color="auto"/>
            </w:tcBorders>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1</w:t>
            </w:r>
          </w:p>
        </w:tc>
        <w:tc>
          <w:tcPr>
            <w:tcW w:w="1260" w:type="dxa"/>
            <w:tcBorders>
              <w:top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无</w:t>
            </w:r>
          </w:p>
        </w:tc>
        <w:tc>
          <w:tcPr>
            <w:tcW w:w="6254" w:type="dxa"/>
            <w:tcBorders>
              <w:top w:val="single" w:sz="4" w:space="0" w:color="auto"/>
            </w:tcBorders>
            <w:vAlign w:val="center"/>
          </w:tcPr>
          <w:p w:rsidR="004E2B83" w:rsidRPr="00C606F0" w:rsidRDefault="00D4144A" w:rsidP="00E84D81">
            <w:pPr>
              <w:autoSpaceDE w:val="0"/>
              <w:autoSpaceDN w:val="0"/>
              <w:adjustRightInd w:val="0"/>
              <w:spacing w:line="520" w:lineRule="exact"/>
              <w:rPr>
                <w:rFonts w:ascii="仿宋_GB2312" w:eastAsia="仿宋_GB2312"/>
                <w:kern w:val="0"/>
                <w:sz w:val="28"/>
                <w:szCs w:val="28"/>
              </w:rPr>
            </w:pPr>
            <w:r w:rsidRPr="00C606F0">
              <w:rPr>
                <w:rFonts w:ascii="仿宋_GB2312" w:eastAsia="仿宋_GB2312" w:hint="eastAsia"/>
                <w:kern w:val="0"/>
                <w:sz w:val="28"/>
                <w:szCs w:val="28"/>
              </w:rPr>
              <w:t>没有可见的折纹；只见连续的皮肤纹线。</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2</w:t>
            </w:r>
          </w:p>
        </w:tc>
        <w:tc>
          <w:tcPr>
            <w:tcW w:w="1260"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轻度</w:t>
            </w:r>
          </w:p>
        </w:tc>
        <w:tc>
          <w:tcPr>
            <w:tcW w:w="6254" w:type="dxa"/>
            <w:vAlign w:val="center"/>
          </w:tcPr>
          <w:p w:rsidR="004E2B83" w:rsidRPr="00C606F0" w:rsidRDefault="00D4144A" w:rsidP="00E84D81">
            <w:pPr>
              <w:autoSpaceDE w:val="0"/>
              <w:autoSpaceDN w:val="0"/>
              <w:adjustRightInd w:val="0"/>
              <w:spacing w:line="520" w:lineRule="exact"/>
              <w:rPr>
                <w:rFonts w:ascii="仿宋_GB2312" w:eastAsia="仿宋_GB2312"/>
                <w:kern w:val="0"/>
                <w:sz w:val="28"/>
                <w:szCs w:val="28"/>
              </w:rPr>
            </w:pPr>
            <w:r w:rsidRPr="00C606F0">
              <w:rPr>
                <w:rFonts w:ascii="仿宋_GB2312" w:eastAsia="仿宋_GB2312" w:hint="eastAsia"/>
                <w:kern w:val="0"/>
                <w:sz w:val="28"/>
                <w:szCs w:val="28"/>
              </w:rPr>
              <w:t>皱褶浅，但可见，呈轻微的凹痕；面部折纹细小。</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3</w:t>
            </w:r>
          </w:p>
        </w:tc>
        <w:tc>
          <w:tcPr>
            <w:tcW w:w="1260"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中度</w:t>
            </w:r>
          </w:p>
        </w:tc>
        <w:tc>
          <w:tcPr>
            <w:tcW w:w="6254" w:type="dxa"/>
            <w:vAlign w:val="center"/>
          </w:tcPr>
          <w:p w:rsidR="004E2B83" w:rsidRPr="00C606F0" w:rsidRDefault="00D4144A" w:rsidP="00E84D81">
            <w:pPr>
              <w:autoSpaceDE w:val="0"/>
              <w:autoSpaceDN w:val="0"/>
              <w:adjustRightInd w:val="0"/>
              <w:spacing w:line="520" w:lineRule="exact"/>
              <w:rPr>
                <w:rFonts w:ascii="仿宋_GB2312" w:eastAsia="仿宋_GB2312"/>
                <w:kern w:val="0"/>
                <w:sz w:val="28"/>
                <w:szCs w:val="28"/>
              </w:rPr>
            </w:pPr>
            <w:r w:rsidRPr="00C606F0">
              <w:rPr>
                <w:rFonts w:ascii="仿宋_GB2312" w:eastAsia="仿宋_GB2312" w:hint="eastAsia"/>
                <w:kern w:val="0"/>
                <w:sz w:val="28"/>
                <w:szCs w:val="28"/>
              </w:rPr>
              <w:t>比较深的皱褶；面部折纹清晰；在一般情况下折纹可见。但当伸展时折纹消失。</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4</w:t>
            </w:r>
          </w:p>
        </w:tc>
        <w:tc>
          <w:tcPr>
            <w:tcW w:w="1260"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重度</w:t>
            </w:r>
          </w:p>
        </w:tc>
        <w:tc>
          <w:tcPr>
            <w:tcW w:w="6254" w:type="dxa"/>
            <w:vAlign w:val="center"/>
          </w:tcPr>
          <w:p w:rsidR="004E2B83" w:rsidRPr="00C606F0" w:rsidRDefault="00D4144A" w:rsidP="00E84D81">
            <w:pPr>
              <w:autoSpaceDE w:val="0"/>
              <w:autoSpaceDN w:val="0"/>
              <w:adjustRightInd w:val="0"/>
              <w:spacing w:line="520" w:lineRule="exact"/>
              <w:rPr>
                <w:rFonts w:ascii="仿宋_GB2312" w:eastAsia="仿宋_GB2312"/>
                <w:kern w:val="0"/>
                <w:sz w:val="28"/>
                <w:szCs w:val="28"/>
              </w:rPr>
            </w:pPr>
            <w:r w:rsidRPr="00C606F0">
              <w:rPr>
                <w:rFonts w:ascii="仿宋_GB2312" w:eastAsia="仿宋_GB2312" w:hint="eastAsia"/>
                <w:kern w:val="0"/>
                <w:sz w:val="28"/>
                <w:szCs w:val="28"/>
              </w:rPr>
              <w:t>非常长而深的皱褶；面部折纹显著；伸展时有小于2mm的可见折纹。</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5</w:t>
            </w:r>
          </w:p>
        </w:tc>
        <w:tc>
          <w:tcPr>
            <w:tcW w:w="1260"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极度</w:t>
            </w:r>
          </w:p>
        </w:tc>
        <w:tc>
          <w:tcPr>
            <w:tcW w:w="6254" w:type="dxa"/>
            <w:vAlign w:val="center"/>
          </w:tcPr>
          <w:p w:rsidR="004E2B83" w:rsidRPr="00C606F0" w:rsidRDefault="00D4144A" w:rsidP="00E84D81">
            <w:pPr>
              <w:autoSpaceDE w:val="0"/>
              <w:autoSpaceDN w:val="0"/>
              <w:adjustRightInd w:val="0"/>
              <w:spacing w:line="520" w:lineRule="exact"/>
              <w:rPr>
                <w:rFonts w:ascii="仿宋_GB2312" w:eastAsia="仿宋_GB2312"/>
                <w:kern w:val="0"/>
                <w:sz w:val="28"/>
                <w:szCs w:val="28"/>
              </w:rPr>
            </w:pPr>
            <w:r w:rsidRPr="00C606F0">
              <w:rPr>
                <w:rFonts w:ascii="仿宋_GB2312" w:eastAsia="仿宋_GB2312" w:hint="eastAsia"/>
                <w:kern w:val="0"/>
                <w:sz w:val="28"/>
                <w:szCs w:val="28"/>
              </w:rPr>
              <w:t>极其深而长的皱褶，严重损害面容；伸展时有2—4mm的清晰可见的V形折纹。</w:t>
            </w:r>
          </w:p>
        </w:tc>
      </w:tr>
    </w:tbl>
    <w:p w:rsidR="003D7833" w:rsidRDefault="00D4144A" w:rsidP="00E84D81">
      <w:pPr>
        <w:spacing w:line="520" w:lineRule="exact"/>
        <w:rPr>
          <w:rFonts w:eastAsia="仿宋_GB2312"/>
          <w:kern w:val="0"/>
          <w:sz w:val="32"/>
          <w:szCs w:val="32"/>
        </w:rPr>
      </w:pPr>
      <w:r w:rsidRPr="00E84D81">
        <w:rPr>
          <w:rFonts w:eastAsia="仿宋_GB2312"/>
          <w:kern w:val="0"/>
          <w:sz w:val="32"/>
          <w:szCs w:val="32"/>
        </w:rPr>
        <w:t xml:space="preserve">    </w:t>
      </w:r>
    </w:p>
    <w:p w:rsidR="004E2B83" w:rsidRPr="00E84D81" w:rsidRDefault="003D7833" w:rsidP="00E84D81">
      <w:pPr>
        <w:spacing w:line="520" w:lineRule="exact"/>
        <w:rPr>
          <w:rFonts w:eastAsia="仿宋_GB2312"/>
          <w:sz w:val="32"/>
          <w:szCs w:val="32"/>
        </w:rPr>
      </w:pPr>
      <w:r>
        <w:rPr>
          <w:rFonts w:eastAsia="仿宋_GB2312" w:hint="eastAsia"/>
          <w:kern w:val="0"/>
          <w:sz w:val="32"/>
          <w:szCs w:val="32"/>
        </w:rPr>
        <w:t xml:space="preserve">    </w:t>
      </w:r>
      <w:r w:rsidR="00D4144A" w:rsidRPr="00E84D81">
        <w:rPr>
          <w:rFonts w:eastAsia="仿宋_GB2312"/>
          <w:kern w:val="0"/>
          <w:sz w:val="32"/>
          <w:szCs w:val="32"/>
        </w:rPr>
        <w:t>如对于注射用交联透明质酸钠凝胶，若适用范围为用于鼻背、鼻小柱和前鼻棘部位骨膜上层（硬骨膜上和</w:t>
      </w:r>
      <w:r w:rsidR="00D4144A" w:rsidRPr="00E84D81">
        <w:rPr>
          <w:rFonts w:eastAsia="仿宋_GB2312"/>
          <w:kern w:val="0"/>
          <w:sz w:val="32"/>
          <w:szCs w:val="32"/>
        </w:rPr>
        <w:t>/</w:t>
      </w:r>
      <w:r w:rsidR="00D4144A" w:rsidRPr="00E84D81">
        <w:rPr>
          <w:rFonts w:eastAsia="仿宋_GB2312"/>
          <w:kern w:val="0"/>
          <w:sz w:val="32"/>
          <w:szCs w:val="32"/>
        </w:rPr>
        <w:t>或软骨膜上）注射，以改善外鼻体积及形态。建议将所宣称的效果持续时间点上</w:t>
      </w:r>
      <w:r w:rsidR="00D4144A" w:rsidRPr="00E84D81">
        <w:rPr>
          <w:rFonts w:eastAsia="仿宋_GB2312"/>
          <w:sz w:val="32"/>
          <w:szCs w:val="32"/>
        </w:rPr>
        <w:t>测量的鼻背和</w:t>
      </w:r>
      <w:r w:rsidR="00D4144A" w:rsidRPr="00E84D81">
        <w:rPr>
          <w:rFonts w:eastAsia="仿宋_GB2312"/>
          <w:sz w:val="32"/>
          <w:szCs w:val="32"/>
        </w:rPr>
        <w:t>/</w:t>
      </w:r>
      <w:r w:rsidR="00D4144A" w:rsidRPr="00E84D81">
        <w:rPr>
          <w:rFonts w:eastAsia="仿宋_GB2312"/>
          <w:sz w:val="32"/>
          <w:szCs w:val="32"/>
        </w:rPr>
        <w:t>或鼻根体积</w:t>
      </w:r>
      <w:r w:rsidR="007F3693">
        <w:rPr>
          <w:rFonts w:eastAsia="仿宋_GB2312" w:hint="eastAsia"/>
          <w:sz w:val="32"/>
          <w:szCs w:val="32"/>
        </w:rPr>
        <w:t>相对于基线的平均变化值</w:t>
      </w:r>
      <w:r w:rsidR="00D4144A" w:rsidRPr="00E84D81">
        <w:rPr>
          <w:rFonts w:eastAsia="仿宋_GB2312"/>
          <w:kern w:val="0"/>
          <w:sz w:val="32"/>
          <w:szCs w:val="32"/>
        </w:rPr>
        <w:t>设为</w:t>
      </w:r>
      <w:r w:rsidR="00F96BAA">
        <w:rPr>
          <w:rFonts w:eastAsia="仿宋_GB2312"/>
          <w:kern w:val="0"/>
          <w:sz w:val="32"/>
          <w:szCs w:val="32"/>
        </w:rPr>
        <w:t>主要有效性评价指标。</w:t>
      </w:r>
    </w:p>
    <w:p w:rsidR="004E2B83" w:rsidRPr="00E84D81" w:rsidRDefault="00D4144A" w:rsidP="00E84D81">
      <w:pPr>
        <w:autoSpaceDE w:val="0"/>
        <w:autoSpaceDN w:val="0"/>
        <w:adjustRightInd w:val="0"/>
        <w:spacing w:line="520" w:lineRule="exact"/>
        <w:ind w:firstLineChars="200" w:firstLine="640"/>
        <w:jc w:val="left"/>
        <w:rPr>
          <w:rFonts w:eastAsia="仿宋_GB2312"/>
          <w:sz w:val="32"/>
          <w:szCs w:val="32"/>
        </w:rPr>
      </w:pPr>
      <w:r w:rsidRPr="00E84D81">
        <w:rPr>
          <w:rFonts w:eastAsia="仿宋_GB2312"/>
          <w:kern w:val="0"/>
          <w:sz w:val="32"/>
          <w:szCs w:val="32"/>
        </w:rPr>
        <w:t>如对于注射用交联透明质酸钠凝胶，若适用范围为用于矫正中面部容量缺失和</w:t>
      </w:r>
      <w:r w:rsidRPr="00E84D81">
        <w:rPr>
          <w:rFonts w:eastAsia="仿宋_GB2312"/>
          <w:kern w:val="0"/>
          <w:sz w:val="32"/>
          <w:szCs w:val="32"/>
        </w:rPr>
        <w:t>/</w:t>
      </w:r>
      <w:r w:rsidRPr="00E84D81">
        <w:rPr>
          <w:rFonts w:eastAsia="仿宋_GB2312"/>
          <w:kern w:val="0"/>
          <w:sz w:val="32"/>
          <w:szCs w:val="32"/>
        </w:rPr>
        <w:t>或中面部轮廓缺陷，注射层次为皮下</w:t>
      </w:r>
      <w:r w:rsidR="003413FA">
        <w:rPr>
          <w:rFonts w:eastAsia="仿宋_GB2312" w:hint="eastAsia"/>
          <w:kern w:val="0"/>
          <w:sz w:val="32"/>
          <w:szCs w:val="32"/>
        </w:rPr>
        <w:t>组织</w:t>
      </w:r>
      <w:r w:rsidRPr="00E84D81">
        <w:rPr>
          <w:rFonts w:eastAsia="仿宋_GB2312"/>
          <w:kern w:val="0"/>
          <w:sz w:val="32"/>
          <w:szCs w:val="32"/>
        </w:rPr>
        <w:t>、骨膜上层。</w:t>
      </w:r>
      <w:r w:rsidRPr="00E84D81">
        <w:rPr>
          <w:rFonts w:eastAsia="仿宋_GB2312"/>
          <w:sz w:val="32"/>
          <w:szCs w:val="32"/>
        </w:rPr>
        <w:t>建议</w:t>
      </w:r>
      <w:r w:rsidR="00C253A8">
        <w:rPr>
          <w:rFonts w:eastAsia="仿宋_GB2312" w:hint="eastAsia"/>
          <w:sz w:val="32"/>
          <w:szCs w:val="32"/>
        </w:rPr>
        <w:t>将</w:t>
      </w:r>
      <w:r w:rsidRPr="00E84D81">
        <w:rPr>
          <w:rFonts w:eastAsia="仿宋_GB2312"/>
          <w:sz w:val="32"/>
          <w:szCs w:val="32"/>
        </w:rPr>
        <w:t>观察末次注射后所宣称的效果持续时间点时的治疗有效率</w:t>
      </w:r>
      <w:r w:rsidR="00C253A8">
        <w:rPr>
          <w:rFonts w:eastAsia="仿宋_GB2312" w:hint="eastAsia"/>
          <w:sz w:val="32"/>
          <w:szCs w:val="32"/>
        </w:rPr>
        <w:t>作为</w:t>
      </w:r>
      <w:r w:rsidR="00C253A8" w:rsidRPr="00E84D81">
        <w:rPr>
          <w:rFonts w:eastAsia="仿宋_GB2312"/>
          <w:sz w:val="32"/>
          <w:szCs w:val="32"/>
        </w:rPr>
        <w:t>主要评价指标</w:t>
      </w:r>
      <w:r w:rsidRPr="00E84D81">
        <w:rPr>
          <w:rFonts w:eastAsia="仿宋_GB2312"/>
          <w:sz w:val="32"/>
          <w:szCs w:val="32"/>
        </w:rPr>
        <w:t>。如可采用</w:t>
      </w:r>
      <w:r w:rsidR="00A00C90" w:rsidRPr="00E84D81">
        <w:rPr>
          <w:rFonts w:eastAsia="仿宋_GB2312"/>
          <w:sz w:val="32"/>
          <w:szCs w:val="32"/>
        </w:rPr>
        <w:t>面中部容量量表</w:t>
      </w:r>
      <w:r w:rsidRPr="00E84D81">
        <w:rPr>
          <w:rFonts w:eastAsia="仿宋_GB2312"/>
          <w:sz w:val="32"/>
          <w:szCs w:val="32"/>
        </w:rPr>
        <w:t>评分</w:t>
      </w:r>
      <w:r w:rsidRPr="00E84D81">
        <w:rPr>
          <w:rFonts w:eastAsia="仿宋_GB2312"/>
          <w:sz w:val="32"/>
          <w:szCs w:val="32"/>
        </w:rPr>
        <w:t xml:space="preserve"> </w:t>
      </w:r>
      <w:r w:rsidRPr="00E84D81">
        <w:rPr>
          <w:rFonts w:eastAsia="仿宋_GB2312"/>
          <w:sz w:val="32"/>
          <w:szCs w:val="32"/>
        </w:rPr>
        <w:t>（</w:t>
      </w:r>
      <w:r w:rsidRPr="00E84D81">
        <w:rPr>
          <w:rFonts w:eastAsia="仿宋_GB2312"/>
          <w:sz w:val="32"/>
          <w:szCs w:val="32"/>
        </w:rPr>
        <w:t>Medicis</w:t>
      </w:r>
      <w:r w:rsidR="00A00C90" w:rsidRPr="00A00C90">
        <w:rPr>
          <w:rFonts w:eastAsia="仿宋_GB2312"/>
          <w:sz w:val="32"/>
          <w:szCs w:val="32"/>
        </w:rPr>
        <w:t xml:space="preserve"> Mid-Face Volume Scale</w:t>
      </w:r>
      <w:r w:rsidRPr="00E84D81">
        <w:rPr>
          <w:rFonts w:eastAsia="仿宋_GB2312"/>
          <w:sz w:val="32"/>
          <w:szCs w:val="32"/>
        </w:rPr>
        <w:t>，</w:t>
      </w:r>
      <w:r w:rsidR="00A00C90" w:rsidRPr="00E84D81">
        <w:rPr>
          <w:rFonts w:eastAsia="仿宋_GB2312"/>
          <w:sz w:val="32"/>
          <w:szCs w:val="32"/>
        </w:rPr>
        <w:t>MMVS</w:t>
      </w:r>
      <w:r w:rsidR="00A00C90">
        <w:rPr>
          <w:rFonts w:eastAsia="仿宋_GB2312" w:hint="eastAsia"/>
          <w:sz w:val="32"/>
          <w:szCs w:val="32"/>
        </w:rPr>
        <w:t>，</w:t>
      </w:r>
      <w:r w:rsidRPr="00E84D81">
        <w:rPr>
          <w:rFonts w:eastAsia="仿宋_GB2312"/>
          <w:sz w:val="32"/>
          <w:szCs w:val="32"/>
        </w:rPr>
        <w:t>见表</w:t>
      </w:r>
      <w:r w:rsidRPr="00E84D81">
        <w:rPr>
          <w:rFonts w:eastAsia="仿宋_GB2312"/>
          <w:sz w:val="32"/>
          <w:szCs w:val="32"/>
        </w:rPr>
        <w:t>2</w:t>
      </w:r>
      <w:r w:rsidRPr="00E84D81">
        <w:rPr>
          <w:rFonts w:eastAsia="仿宋_GB2312"/>
          <w:sz w:val="32"/>
          <w:szCs w:val="32"/>
        </w:rPr>
        <w:t>）或</w:t>
      </w:r>
      <w:r w:rsidR="00A00C90" w:rsidRPr="00A00C90">
        <w:rPr>
          <w:rFonts w:eastAsia="仿宋_GB2312" w:hint="eastAsia"/>
          <w:sz w:val="32"/>
          <w:szCs w:val="32"/>
        </w:rPr>
        <w:t>面中部容积缺陷量表</w:t>
      </w:r>
      <w:r w:rsidRPr="00E84D81">
        <w:rPr>
          <w:rFonts w:eastAsia="仿宋_GB2312"/>
          <w:sz w:val="32"/>
          <w:szCs w:val="32"/>
        </w:rPr>
        <w:t>评分（</w:t>
      </w:r>
      <w:r w:rsidR="00A00C90" w:rsidRPr="00A00C90">
        <w:rPr>
          <w:rFonts w:eastAsia="仿宋_GB2312"/>
          <w:sz w:val="32"/>
          <w:szCs w:val="32"/>
        </w:rPr>
        <w:t>Mid-Face Volume Deficit Scale</w:t>
      </w:r>
      <w:r w:rsidR="00A00C90">
        <w:rPr>
          <w:rFonts w:eastAsia="仿宋_GB2312" w:hint="eastAsia"/>
          <w:sz w:val="32"/>
          <w:szCs w:val="32"/>
        </w:rPr>
        <w:t>，</w:t>
      </w:r>
      <w:r w:rsidR="00A00C90" w:rsidRPr="00E84D81">
        <w:rPr>
          <w:rFonts w:eastAsia="仿宋_GB2312"/>
          <w:sz w:val="32"/>
          <w:szCs w:val="32"/>
        </w:rPr>
        <w:t>MFVDS</w:t>
      </w:r>
      <w:r w:rsidRPr="00E84D81">
        <w:rPr>
          <w:rFonts w:eastAsia="仿宋_GB2312"/>
          <w:sz w:val="32"/>
          <w:szCs w:val="32"/>
        </w:rPr>
        <w:t>，见表</w:t>
      </w:r>
      <w:r w:rsidRPr="00E84D81">
        <w:rPr>
          <w:rFonts w:eastAsia="仿宋_GB2312"/>
          <w:sz w:val="32"/>
          <w:szCs w:val="32"/>
        </w:rPr>
        <w:t>3</w:t>
      </w:r>
      <w:r w:rsidRPr="00E84D81">
        <w:rPr>
          <w:rFonts w:eastAsia="仿宋_GB2312"/>
          <w:sz w:val="32"/>
          <w:szCs w:val="32"/>
        </w:rPr>
        <w:t>），且与基线相比，评分显示改善</w:t>
      </w:r>
      <w:r w:rsidRPr="00E84D81">
        <w:rPr>
          <w:rFonts w:eastAsia="仿宋_GB2312"/>
          <w:sz w:val="32"/>
          <w:szCs w:val="32"/>
        </w:rPr>
        <w:t>≥1</w:t>
      </w:r>
      <w:r w:rsidRPr="00E84D81">
        <w:rPr>
          <w:rFonts w:eastAsia="仿宋_GB2312"/>
          <w:sz w:val="32"/>
          <w:szCs w:val="32"/>
        </w:rPr>
        <w:t>级的受试者被视为治疗有效。</w:t>
      </w:r>
    </w:p>
    <w:p w:rsidR="004E2B83" w:rsidRDefault="00D4144A" w:rsidP="00E84D81">
      <w:pPr>
        <w:autoSpaceDE w:val="0"/>
        <w:autoSpaceDN w:val="0"/>
        <w:adjustRightInd w:val="0"/>
        <w:spacing w:line="520" w:lineRule="exact"/>
        <w:ind w:firstLineChars="200" w:firstLine="640"/>
        <w:jc w:val="left"/>
        <w:rPr>
          <w:rFonts w:eastAsia="仿宋_GB2312"/>
          <w:sz w:val="32"/>
          <w:szCs w:val="32"/>
        </w:rPr>
      </w:pPr>
      <w:r w:rsidRPr="00E84D81">
        <w:rPr>
          <w:rFonts w:eastAsia="仿宋_GB2312"/>
          <w:sz w:val="32"/>
          <w:szCs w:val="32"/>
        </w:rPr>
        <w:t>表</w:t>
      </w:r>
      <w:r w:rsidRPr="00E84D81">
        <w:rPr>
          <w:rFonts w:eastAsia="仿宋_GB2312"/>
          <w:sz w:val="32"/>
          <w:szCs w:val="32"/>
        </w:rPr>
        <w:t>2</w:t>
      </w:r>
      <w:r w:rsidRPr="00E84D81">
        <w:rPr>
          <w:rFonts w:eastAsia="仿宋_GB2312"/>
          <w:sz w:val="32"/>
          <w:szCs w:val="32"/>
        </w:rPr>
        <w:t>和表</w:t>
      </w:r>
      <w:r w:rsidRPr="00E84D81">
        <w:rPr>
          <w:rFonts w:eastAsia="仿宋_GB2312"/>
          <w:sz w:val="32"/>
          <w:szCs w:val="32"/>
        </w:rPr>
        <w:t>3</w:t>
      </w:r>
      <w:r w:rsidRPr="00E84D81">
        <w:rPr>
          <w:rFonts w:eastAsia="仿宋_GB2312"/>
          <w:sz w:val="32"/>
          <w:szCs w:val="32"/>
        </w:rPr>
        <w:t>分别提供面中部美容效果评价的两种示例。</w:t>
      </w:r>
    </w:p>
    <w:p w:rsidR="00C606F0" w:rsidRPr="00E84D81" w:rsidRDefault="00C606F0" w:rsidP="00E84D81">
      <w:pPr>
        <w:autoSpaceDE w:val="0"/>
        <w:autoSpaceDN w:val="0"/>
        <w:adjustRightInd w:val="0"/>
        <w:spacing w:line="520" w:lineRule="exact"/>
        <w:ind w:firstLineChars="200" w:firstLine="640"/>
        <w:jc w:val="left"/>
        <w:rPr>
          <w:rFonts w:eastAsia="仿宋_GB2312"/>
          <w:sz w:val="32"/>
          <w:szCs w:val="32"/>
        </w:rPr>
      </w:pPr>
    </w:p>
    <w:p w:rsidR="00C606F0" w:rsidRPr="00C139AA" w:rsidRDefault="00D4144A" w:rsidP="00E84D81">
      <w:pPr>
        <w:autoSpaceDE w:val="0"/>
        <w:autoSpaceDN w:val="0"/>
        <w:adjustRightInd w:val="0"/>
        <w:spacing w:line="520" w:lineRule="exact"/>
        <w:jc w:val="center"/>
        <w:rPr>
          <w:rFonts w:eastAsia="黑体"/>
          <w:kern w:val="0"/>
          <w:sz w:val="28"/>
          <w:szCs w:val="32"/>
        </w:rPr>
      </w:pPr>
      <w:r w:rsidRPr="00E84D81">
        <w:rPr>
          <w:rFonts w:eastAsia="黑体"/>
          <w:kern w:val="0"/>
          <w:sz w:val="28"/>
          <w:szCs w:val="32"/>
        </w:rPr>
        <w:t>表</w:t>
      </w:r>
      <w:r w:rsidRPr="00E84D81">
        <w:rPr>
          <w:rFonts w:eastAsia="黑体"/>
          <w:kern w:val="0"/>
          <w:sz w:val="28"/>
          <w:szCs w:val="32"/>
        </w:rPr>
        <w:t xml:space="preserve">2 Medicis </w:t>
      </w:r>
      <w:r w:rsidRPr="00E84D81">
        <w:rPr>
          <w:rFonts w:eastAsia="黑体"/>
          <w:kern w:val="0"/>
          <w:sz w:val="28"/>
          <w:szCs w:val="32"/>
        </w:rPr>
        <w:t>面中部容量量表（</w:t>
      </w:r>
      <w:r w:rsidRPr="00E84D81">
        <w:rPr>
          <w:rFonts w:eastAsia="黑体"/>
          <w:kern w:val="0"/>
          <w:sz w:val="28"/>
          <w:szCs w:val="32"/>
        </w:rPr>
        <w:t>MMVS</w:t>
      </w:r>
      <w:r w:rsidRPr="00E84D81">
        <w:rPr>
          <w:rFonts w:eastAsia="黑体"/>
          <w:kern w:val="0"/>
          <w:sz w:val="28"/>
          <w:szCs w:val="32"/>
        </w:rPr>
        <w:t>）（示例）</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817"/>
        <w:gridCol w:w="1451"/>
        <w:gridCol w:w="6254"/>
      </w:tblGrid>
      <w:tr w:rsidR="004E2B83" w:rsidRPr="00E84D81" w:rsidTr="00C606F0">
        <w:trPr>
          <w:trHeight w:val="454"/>
          <w:jc w:val="center"/>
        </w:trPr>
        <w:tc>
          <w:tcPr>
            <w:tcW w:w="817" w:type="dxa"/>
            <w:tcBorders>
              <w:top w:val="single" w:sz="4" w:space="0" w:color="auto"/>
              <w:bottom w:val="single" w:sz="4" w:space="0" w:color="auto"/>
            </w:tcBorders>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lastRenderedPageBreak/>
              <w:t>评分</w:t>
            </w:r>
          </w:p>
        </w:tc>
        <w:tc>
          <w:tcPr>
            <w:tcW w:w="1451" w:type="dxa"/>
            <w:tcBorders>
              <w:top w:val="single" w:sz="4" w:space="0" w:color="auto"/>
              <w:bottom w:val="single" w:sz="4" w:space="0" w:color="auto"/>
            </w:tcBorders>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t>评价</w:t>
            </w:r>
          </w:p>
        </w:tc>
        <w:tc>
          <w:tcPr>
            <w:tcW w:w="6254" w:type="dxa"/>
            <w:tcBorders>
              <w:top w:val="single" w:sz="4" w:space="0" w:color="auto"/>
              <w:bottom w:val="single" w:sz="4" w:space="0" w:color="auto"/>
            </w:tcBorders>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t>特征描述</w:t>
            </w:r>
          </w:p>
        </w:tc>
      </w:tr>
      <w:tr w:rsidR="004E2B83" w:rsidRPr="00E84D81" w:rsidTr="00C606F0">
        <w:trPr>
          <w:trHeight w:val="454"/>
          <w:jc w:val="center"/>
        </w:trPr>
        <w:tc>
          <w:tcPr>
            <w:tcW w:w="817" w:type="dxa"/>
            <w:tcBorders>
              <w:top w:val="single" w:sz="4" w:space="0" w:color="auto"/>
            </w:tcBorders>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1</w:t>
            </w:r>
          </w:p>
        </w:tc>
        <w:tc>
          <w:tcPr>
            <w:tcW w:w="1451" w:type="dxa"/>
            <w:tcBorders>
              <w:top w:val="single" w:sz="4" w:space="0" w:color="auto"/>
            </w:tcBorders>
            <w:vAlign w:val="center"/>
          </w:tcPr>
          <w:p w:rsidR="004E2B83" w:rsidRPr="00C606F0" w:rsidRDefault="00D4144A" w:rsidP="00C606F0">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kern w:val="0"/>
                <w:sz w:val="28"/>
                <w:szCs w:val="28"/>
              </w:rPr>
              <w:t>饱满</w:t>
            </w:r>
          </w:p>
        </w:tc>
        <w:tc>
          <w:tcPr>
            <w:tcW w:w="6254" w:type="dxa"/>
            <w:tcBorders>
              <w:top w:val="single" w:sz="4" w:space="0" w:color="auto"/>
            </w:tcBorders>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t>从45度角观察，面颊隆起超过眶下缘。</w:t>
            </w:r>
          </w:p>
        </w:tc>
      </w:tr>
      <w:tr w:rsidR="004E2B83" w:rsidRPr="00E84D81" w:rsidTr="00C606F0">
        <w:trPr>
          <w:trHeight w:val="454"/>
          <w:jc w:val="center"/>
        </w:trPr>
        <w:tc>
          <w:tcPr>
            <w:tcW w:w="817"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2</w:t>
            </w:r>
          </w:p>
        </w:tc>
        <w:tc>
          <w:tcPr>
            <w:tcW w:w="1451" w:type="dxa"/>
            <w:vAlign w:val="center"/>
          </w:tcPr>
          <w:p w:rsidR="004E2B83" w:rsidRPr="00C606F0" w:rsidRDefault="00D4144A" w:rsidP="00C606F0">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kern w:val="0"/>
                <w:sz w:val="28"/>
                <w:szCs w:val="28"/>
              </w:rPr>
              <w:t>轻度缺失</w:t>
            </w:r>
          </w:p>
        </w:tc>
        <w:tc>
          <w:tcPr>
            <w:tcW w:w="6254" w:type="dxa"/>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t>面中部扁平；面颊隆起与眶下缘平齐或眶下缘后方。可能有轻微的泪沟，但没有超过眼中部。可见面颊前部轻微的容量缺失。</w:t>
            </w:r>
          </w:p>
        </w:tc>
      </w:tr>
      <w:tr w:rsidR="004E2B83" w:rsidRPr="00E84D81" w:rsidTr="00C606F0">
        <w:trPr>
          <w:trHeight w:val="454"/>
          <w:jc w:val="center"/>
        </w:trPr>
        <w:tc>
          <w:tcPr>
            <w:tcW w:w="817"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3</w:t>
            </w:r>
          </w:p>
        </w:tc>
        <w:tc>
          <w:tcPr>
            <w:tcW w:w="1451" w:type="dxa"/>
            <w:vAlign w:val="center"/>
          </w:tcPr>
          <w:p w:rsidR="004E2B83" w:rsidRPr="00C606F0" w:rsidRDefault="00D4144A" w:rsidP="00C606F0">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kern w:val="0"/>
                <w:sz w:val="28"/>
                <w:szCs w:val="28"/>
              </w:rPr>
              <w:t>中度缺失</w:t>
            </w:r>
          </w:p>
        </w:tc>
        <w:tc>
          <w:tcPr>
            <w:tcW w:w="6254" w:type="dxa"/>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t>伴有颧突下方轻微凹陷；泪沟超过眼中部。</w:t>
            </w:r>
          </w:p>
        </w:tc>
      </w:tr>
      <w:tr w:rsidR="004E2B83" w:rsidRPr="00E84D81" w:rsidTr="00C606F0">
        <w:trPr>
          <w:trHeight w:val="454"/>
          <w:jc w:val="center"/>
        </w:trPr>
        <w:tc>
          <w:tcPr>
            <w:tcW w:w="817"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4</w:t>
            </w:r>
          </w:p>
        </w:tc>
        <w:tc>
          <w:tcPr>
            <w:tcW w:w="1451" w:type="dxa"/>
            <w:vAlign w:val="center"/>
          </w:tcPr>
          <w:p w:rsidR="004E2B83" w:rsidRPr="00C606F0" w:rsidRDefault="00D4144A" w:rsidP="00C606F0">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kern w:val="0"/>
                <w:sz w:val="28"/>
                <w:szCs w:val="28"/>
              </w:rPr>
              <w:t>重度缺失</w:t>
            </w:r>
          </w:p>
        </w:tc>
        <w:tc>
          <w:tcPr>
            <w:tcW w:w="6254" w:type="dxa"/>
            <w:vAlign w:val="center"/>
          </w:tcPr>
          <w:p w:rsidR="004E2B83" w:rsidRPr="00C606F0" w:rsidRDefault="00D4144A" w:rsidP="00C606F0">
            <w:pPr>
              <w:autoSpaceDE w:val="0"/>
              <w:autoSpaceDN w:val="0"/>
              <w:adjustRightInd w:val="0"/>
              <w:spacing w:line="520" w:lineRule="exact"/>
              <w:rPr>
                <w:rFonts w:ascii="仿宋_GB2312" w:eastAsia="仿宋_GB2312"/>
                <w:kern w:val="0"/>
                <w:sz w:val="28"/>
                <w:szCs w:val="28"/>
              </w:rPr>
            </w:pPr>
            <w:r w:rsidRPr="00C606F0">
              <w:rPr>
                <w:rFonts w:ascii="仿宋_GB2312" w:eastAsia="仿宋_GB2312"/>
                <w:kern w:val="0"/>
                <w:sz w:val="28"/>
                <w:szCs w:val="28"/>
              </w:rPr>
              <w:t>颧突下方明显凹陷，面中部区域的明显凹陷。</w:t>
            </w:r>
          </w:p>
        </w:tc>
      </w:tr>
    </w:tbl>
    <w:p w:rsidR="00C606F0" w:rsidRDefault="00C606F0" w:rsidP="00E84D81">
      <w:pPr>
        <w:autoSpaceDE w:val="0"/>
        <w:autoSpaceDN w:val="0"/>
        <w:adjustRightInd w:val="0"/>
        <w:spacing w:line="520" w:lineRule="exact"/>
        <w:jc w:val="center"/>
        <w:rPr>
          <w:rFonts w:eastAsia="黑体"/>
          <w:kern w:val="0"/>
          <w:sz w:val="28"/>
          <w:szCs w:val="32"/>
        </w:rPr>
      </w:pPr>
    </w:p>
    <w:p w:rsidR="00C606F0" w:rsidRPr="00C139AA" w:rsidRDefault="00D4144A" w:rsidP="00E84D81">
      <w:pPr>
        <w:autoSpaceDE w:val="0"/>
        <w:autoSpaceDN w:val="0"/>
        <w:adjustRightInd w:val="0"/>
        <w:spacing w:line="520" w:lineRule="exact"/>
        <w:jc w:val="center"/>
        <w:rPr>
          <w:rFonts w:eastAsia="黑体"/>
          <w:kern w:val="0"/>
          <w:sz w:val="28"/>
          <w:szCs w:val="32"/>
        </w:rPr>
      </w:pPr>
      <w:r w:rsidRPr="00E84D81">
        <w:rPr>
          <w:rFonts w:eastAsia="黑体"/>
          <w:kern w:val="0"/>
          <w:sz w:val="28"/>
          <w:szCs w:val="32"/>
        </w:rPr>
        <w:t>表</w:t>
      </w:r>
      <w:r w:rsidRPr="00E84D81">
        <w:rPr>
          <w:rFonts w:eastAsia="黑体"/>
          <w:kern w:val="0"/>
          <w:sz w:val="28"/>
          <w:szCs w:val="32"/>
        </w:rPr>
        <w:t xml:space="preserve">3 </w:t>
      </w:r>
      <w:r w:rsidR="00A00C90">
        <w:rPr>
          <w:rFonts w:eastAsia="黑体" w:hint="eastAsia"/>
          <w:kern w:val="0"/>
          <w:sz w:val="28"/>
          <w:szCs w:val="32"/>
        </w:rPr>
        <w:t>面中部容积缺陷量</w:t>
      </w:r>
      <w:r w:rsidRPr="00E84D81">
        <w:rPr>
          <w:rFonts w:eastAsia="黑体"/>
          <w:kern w:val="0"/>
          <w:sz w:val="28"/>
          <w:szCs w:val="32"/>
        </w:rPr>
        <w:t>评分量表（</w:t>
      </w:r>
      <w:r w:rsidRPr="00E84D81">
        <w:rPr>
          <w:rFonts w:eastAsia="黑体"/>
          <w:kern w:val="0"/>
          <w:sz w:val="28"/>
          <w:szCs w:val="32"/>
        </w:rPr>
        <w:t>MFVDS</w:t>
      </w:r>
      <w:r w:rsidRPr="00E84D81">
        <w:rPr>
          <w:rFonts w:eastAsia="黑体"/>
          <w:kern w:val="0"/>
          <w:sz w:val="28"/>
          <w:szCs w:val="32"/>
        </w:rPr>
        <w:t>）（示例）</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008"/>
        <w:gridCol w:w="1260"/>
        <w:gridCol w:w="6254"/>
      </w:tblGrid>
      <w:tr w:rsidR="004E2B83" w:rsidRPr="00E84D81">
        <w:trPr>
          <w:trHeight w:val="454"/>
          <w:jc w:val="center"/>
        </w:trPr>
        <w:tc>
          <w:tcPr>
            <w:tcW w:w="1008"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评分</w:t>
            </w:r>
          </w:p>
        </w:tc>
        <w:tc>
          <w:tcPr>
            <w:tcW w:w="1260"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评价</w:t>
            </w:r>
          </w:p>
        </w:tc>
        <w:tc>
          <w:tcPr>
            <w:tcW w:w="6254"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特征描述</w:t>
            </w:r>
          </w:p>
        </w:tc>
      </w:tr>
      <w:tr w:rsidR="004E2B83" w:rsidRPr="00E84D81">
        <w:trPr>
          <w:trHeight w:val="454"/>
          <w:jc w:val="center"/>
        </w:trPr>
        <w:tc>
          <w:tcPr>
            <w:tcW w:w="1008" w:type="dxa"/>
            <w:tcBorders>
              <w:top w:val="single" w:sz="4" w:space="0" w:color="auto"/>
            </w:tcBorders>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0</w:t>
            </w:r>
          </w:p>
        </w:tc>
        <w:tc>
          <w:tcPr>
            <w:tcW w:w="1260" w:type="dxa"/>
            <w:tcBorders>
              <w:top w:val="single" w:sz="4" w:space="0" w:color="auto"/>
            </w:tcBorders>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饱满</w:t>
            </w:r>
          </w:p>
        </w:tc>
        <w:tc>
          <w:tcPr>
            <w:tcW w:w="6254" w:type="dxa"/>
            <w:tcBorders>
              <w:top w:val="single" w:sz="4" w:space="0" w:color="auto"/>
            </w:tcBorders>
            <w:vAlign w:val="center"/>
          </w:tcPr>
          <w:p w:rsidR="004E2B83" w:rsidRPr="00C606F0" w:rsidRDefault="00D4144A" w:rsidP="00E84D81">
            <w:pPr>
              <w:pStyle w:val="af"/>
              <w:spacing w:line="520" w:lineRule="exact"/>
              <w:ind w:left="1160" w:firstLineChars="0" w:firstLine="0"/>
              <w:rPr>
                <w:rFonts w:ascii="仿宋_GB2312" w:eastAsia="仿宋_GB2312"/>
                <w:kern w:val="0"/>
                <w:sz w:val="28"/>
                <w:szCs w:val="28"/>
              </w:rPr>
            </w:pPr>
            <w:r w:rsidRPr="00C606F0">
              <w:rPr>
                <w:rFonts w:ascii="仿宋_GB2312" w:eastAsia="仿宋_GB2312" w:hint="eastAsia"/>
                <w:kern w:val="0"/>
                <w:sz w:val="28"/>
                <w:szCs w:val="28"/>
              </w:rPr>
              <w:t xml:space="preserve">        没有下垂或体积缺失 。</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1</w:t>
            </w:r>
          </w:p>
        </w:tc>
        <w:tc>
          <w:tcPr>
            <w:tcW w:w="1260" w:type="dxa"/>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极轻度</w:t>
            </w:r>
          </w:p>
        </w:tc>
        <w:tc>
          <w:tcPr>
            <w:tcW w:w="6254"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 xml:space="preserve">  最小下垂或最小体积缺失。</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2</w:t>
            </w:r>
          </w:p>
        </w:tc>
        <w:tc>
          <w:tcPr>
            <w:tcW w:w="1260" w:type="dxa"/>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轻度</w:t>
            </w:r>
          </w:p>
        </w:tc>
        <w:tc>
          <w:tcPr>
            <w:tcW w:w="6254"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轻度下垂或轻度体积缺失。</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3</w:t>
            </w:r>
          </w:p>
        </w:tc>
        <w:tc>
          <w:tcPr>
            <w:tcW w:w="1260" w:type="dxa"/>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中度</w:t>
            </w:r>
          </w:p>
        </w:tc>
        <w:tc>
          <w:tcPr>
            <w:tcW w:w="6254"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中度下垂或中度体积缺失。</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4</w:t>
            </w:r>
          </w:p>
        </w:tc>
        <w:tc>
          <w:tcPr>
            <w:tcW w:w="1260" w:type="dxa"/>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重度</w:t>
            </w:r>
          </w:p>
        </w:tc>
        <w:tc>
          <w:tcPr>
            <w:tcW w:w="6254"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重度下垂或重度体积缺失。</w:t>
            </w:r>
          </w:p>
        </w:tc>
      </w:tr>
      <w:tr w:rsidR="004E2B83" w:rsidRPr="00E84D81">
        <w:trPr>
          <w:trHeight w:val="454"/>
          <w:jc w:val="center"/>
        </w:trPr>
        <w:tc>
          <w:tcPr>
            <w:tcW w:w="1008" w:type="dxa"/>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5</w:t>
            </w:r>
          </w:p>
        </w:tc>
        <w:tc>
          <w:tcPr>
            <w:tcW w:w="1260" w:type="dxa"/>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极重度</w:t>
            </w:r>
          </w:p>
        </w:tc>
        <w:tc>
          <w:tcPr>
            <w:tcW w:w="6254" w:type="dxa"/>
            <w:vAlign w:val="center"/>
          </w:tcPr>
          <w:p w:rsidR="004E2B83" w:rsidRPr="00C606F0" w:rsidRDefault="00D4144A" w:rsidP="00E84D81">
            <w:pPr>
              <w:autoSpaceDE w:val="0"/>
              <w:autoSpaceDN w:val="0"/>
              <w:adjustRightInd w:val="0"/>
              <w:spacing w:line="520" w:lineRule="exact"/>
              <w:jc w:val="center"/>
              <w:rPr>
                <w:rFonts w:ascii="仿宋_GB2312" w:eastAsia="仿宋_GB2312"/>
                <w:kern w:val="0"/>
                <w:sz w:val="28"/>
                <w:szCs w:val="28"/>
              </w:rPr>
            </w:pPr>
            <w:r w:rsidRPr="00C606F0">
              <w:rPr>
                <w:rFonts w:ascii="仿宋_GB2312" w:eastAsia="仿宋_GB2312" w:hint="eastAsia"/>
                <w:kern w:val="0"/>
                <w:sz w:val="28"/>
                <w:szCs w:val="28"/>
              </w:rPr>
              <w:t>极重度下垂或极重度体积缺失。</w:t>
            </w:r>
          </w:p>
        </w:tc>
      </w:tr>
    </w:tbl>
    <w:p w:rsidR="004E2B83" w:rsidRPr="00E84D81" w:rsidRDefault="004E2B83" w:rsidP="00E84D81">
      <w:pPr>
        <w:overflowPunct w:val="0"/>
        <w:autoSpaceDE w:val="0"/>
        <w:autoSpaceDN w:val="0"/>
        <w:adjustRightInd w:val="0"/>
        <w:spacing w:line="520" w:lineRule="exact"/>
        <w:ind w:firstLineChars="200" w:firstLine="640"/>
        <w:rPr>
          <w:rFonts w:eastAsia="仿宋_GB2312"/>
          <w:kern w:val="0"/>
          <w:sz w:val="32"/>
          <w:szCs w:val="32"/>
        </w:rPr>
      </w:pPr>
    </w:p>
    <w:p w:rsidR="004E2B83" w:rsidRDefault="00D4144A" w:rsidP="00E84D81">
      <w:pPr>
        <w:autoSpaceDE w:val="0"/>
        <w:autoSpaceDN w:val="0"/>
        <w:adjustRightInd w:val="0"/>
        <w:spacing w:line="520" w:lineRule="exact"/>
        <w:ind w:firstLineChars="200" w:firstLine="640"/>
        <w:jc w:val="left"/>
        <w:rPr>
          <w:rFonts w:eastAsia="仿宋_GB2312"/>
          <w:sz w:val="32"/>
          <w:szCs w:val="32"/>
        </w:rPr>
      </w:pPr>
      <w:r w:rsidRPr="00E84D81">
        <w:rPr>
          <w:rFonts w:eastAsia="仿宋_GB2312"/>
          <w:kern w:val="0"/>
          <w:sz w:val="32"/>
          <w:szCs w:val="32"/>
        </w:rPr>
        <w:t>如对于注射用交联透明质酸钠凝胶，若适用范围为通过注射至唇红体和唇红缘的唇粘膜</w:t>
      </w:r>
      <w:r w:rsidR="0026693F">
        <w:rPr>
          <w:rFonts w:eastAsia="仿宋_GB2312" w:hint="eastAsia"/>
          <w:kern w:val="0"/>
          <w:sz w:val="32"/>
          <w:szCs w:val="32"/>
        </w:rPr>
        <w:t>下层</w:t>
      </w:r>
      <w:r w:rsidRPr="00E84D81">
        <w:rPr>
          <w:rFonts w:eastAsia="仿宋_GB2312"/>
          <w:kern w:val="0"/>
          <w:sz w:val="32"/>
          <w:szCs w:val="32"/>
        </w:rPr>
        <w:t>、真皮浅层或中层，以矫正唇部不对称、轮廓畸形和容积缺损等结构缺陷</w:t>
      </w:r>
      <w:r w:rsidRPr="00E84D81">
        <w:rPr>
          <w:rFonts w:eastAsia="仿宋_GB2312"/>
          <w:sz w:val="32"/>
          <w:szCs w:val="32"/>
        </w:rPr>
        <w:t>。建议</w:t>
      </w:r>
      <w:r w:rsidR="00C253A8">
        <w:rPr>
          <w:rFonts w:eastAsia="仿宋_GB2312" w:hint="eastAsia"/>
          <w:sz w:val="32"/>
          <w:szCs w:val="32"/>
        </w:rPr>
        <w:t>将</w:t>
      </w:r>
      <w:r w:rsidRPr="00E84D81">
        <w:rPr>
          <w:rFonts w:eastAsia="仿宋_GB2312"/>
          <w:sz w:val="32"/>
          <w:szCs w:val="32"/>
        </w:rPr>
        <w:t>观察末次</w:t>
      </w:r>
      <w:r w:rsidR="00EC2BFA">
        <w:rPr>
          <w:rFonts w:eastAsia="仿宋_GB2312" w:hint="eastAsia"/>
          <w:sz w:val="32"/>
          <w:szCs w:val="32"/>
        </w:rPr>
        <w:t>注射后</w:t>
      </w:r>
      <w:r w:rsidRPr="00E84D81">
        <w:rPr>
          <w:rFonts w:eastAsia="仿宋_GB2312"/>
          <w:sz w:val="32"/>
          <w:szCs w:val="32"/>
        </w:rPr>
        <w:t>所宣称的效果持续时间点访视时的丰唇治疗效果</w:t>
      </w:r>
      <w:r w:rsidR="00C253A8">
        <w:rPr>
          <w:rFonts w:eastAsia="仿宋_GB2312" w:hint="eastAsia"/>
          <w:sz w:val="32"/>
          <w:szCs w:val="32"/>
        </w:rPr>
        <w:t>作为</w:t>
      </w:r>
      <w:r w:rsidR="00C253A8" w:rsidRPr="00E84D81">
        <w:rPr>
          <w:rFonts w:eastAsia="仿宋_GB2312"/>
          <w:sz w:val="32"/>
          <w:szCs w:val="32"/>
        </w:rPr>
        <w:t>主要评价指标</w:t>
      </w:r>
      <w:r w:rsidR="007F3693">
        <w:rPr>
          <w:rFonts w:eastAsia="仿宋_GB2312"/>
          <w:sz w:val="32"/>
          <w:szCs w:val="32"/>
        </w:rPr>
        <w:t>。如</w:t>
      </w:r>
      <w:r w:rsidRPr="00E84D81">
        <w:rPr>
          <w:rFonts w:eastAsia="仿宋_GB2312"/>
          <w:sz w:val="32"/>
          <w:szCs w:val="32"/>
        </w:rPr>
        <w:t>可采用</w:t>
      </w:r>
      <w:r w:rsidR="00D84C2F" w:rsidRPr="00E84D81">
        <w:rPr>
          <w:rFonts w:eastAsia="仿宋_GB2312"/>
          <w:sz w:val="32"/>
          <w:szCs w:val="32"/>
        </w:rPr>
        <w:t>嘴唇丰满度量表</w:t>
      </w:r>
      <w:r w:rsidRPr="00E84D81">
        <w:rPr>
          <w:rFonts w:eastAsia="仿宋_GB2312"/>
          <w:sz w:val="32"/>
          <w:szCs w:val="32"/>
        </w:rPr>
        <w:t>评分（</w:t>
      </w:r>
      <w:r w:rsidR="00D84C2F">
        <w:rPr>
          <w:rFonts w:eastAsia="仿宋_GB2312" w:hint="eastAsia"/>
          <w:sz w:val="32"/>
          <w:szCs w:val="32"/>
        </w:rPr>
        <w:t xml:space="preserve">Lip Fullness Scale2, </w:t>
      </w:r>
      <w:r w:rsidR="00D84C2F" w:rsidRPr="00E84D81">
        <w:rPr>
          <w:rFonts w:eastAsia="仿宋_GB2312"/>
          <w:sz w:val="32"/>
          <w:szCs w:val="32"/>
        </w:rPr>
        <w:t>LFS</w:t>
      </w:r>
      <w:r w:rsidR="00D84C2F">
        <w:rPr>
          <w:rFonts w:eastAsia="仿宋_GB2312" w:hint="eastAsia"/>
          <w:sz w:val="32"/>
          <w:szCs w:val="32"/>
        </w:rPr>
        <w:t>2</w:t>
      </w:r>
      <w:r w:rsidRPr="00E84D81">
        <w:rPr>
          <w:rFonts w:eastAsia="仿宋_GB2312"/>
          <w:sz w:val="32"/>
          <w:szCs w:val="32"/>
        </w:rPr>
        <w:t>，见表</w:t>
      </w:r>
      <w:r w:rsidRPr="00E84D81">
        <w:rPr>
          <w:rFonts w:eastAsia="仿宋_GB2312"/>
          <w:sz w:val="32"/>
          <w:szCs w:val="32"/>
        </w:rPr>
        <w:t>4</w:t>
      </w:r>
      <w:r w:rsidRPr="00E84D81">
        <w:rPr>
          <w:rFonts w:eastAsia="仿宋_GB2312"/>
          <w:sz w:val="32"/>
          <w:szCs w:val="32"/>
        </w:rPr>
        <w:t>），与基线相比，</w:t>
      </w:r>
      <w:r w:rsidRPr="00E84D81">
        <w:rPr>
          <w:rFonts w:eastAsia="仿宋_GB2312"/>
          <w:sz w:val="32"/>
          <w:szCs w:val="32"/>
        </w:rPr>
        <w:t>LFS</w:t>
      </w:r>
      <w:r w:rsidR="00A42171">
        <w:rPr>
          <w:rFonts w:eastAsia="仿宋_GB2312" w:hint="eastAsia"/>
          <w:sz w:val="32"/>
          <w:szCs w:val="32"/>
        </w:rPr>
        <w:t>2</w:t>
      </w:r>
      <w:r w:rsidRPr="00E84D81">
        <w:rPr>
          <w:rFonts w:eastAsia="仿宋_GB2312"/>
          <w:sz w:val="32"/>
          <w:szCs w:val="32"/>
        </w:rPr>
        <w:t>评分显示改善（丰满度增加）</w:t>
      </w:r>
      <w:r w:rsidRPr="00E84D81">
        <w:rPr>
          <w:rFonts w:eastAsia="仿宋_GB2312"/>
          <w:sz w:val="32"/>
          <w:szCs w:val="32"/>
        </w:rPr>
        <w:t>≥1</w:t>
      </w:r>
      <w:r w:rsidRPr="00E84D81">
        <w:rPr>
          <w:rFonts w:eastAsia="仿宋_GB2312"/>
          <w:sz w:val="32"/>
          <w:szCs w:val="32"/>
        </w:rPr>
        <w:t>级的受试者被视为丰唇有效。</w:t>
      </w:r>
    </w:p>
    <w:p w:rsidR="00C606F0" w:rsidRPr="00E84D81" w:rsidRDefault="00C606F0" w:rsidP="00E84D81">
      <w:pPr>
        <w:autoSpaceDE w:val="0"/>
        <w:autoSpaceDN w:val="0"/>
        <w:adjustRightInd w:val="0"/>
        <w:spacing w:line="520" w:lineRule="exact"/>
        <w:ind w:firstLineChars="200" w:firstLine="640"/>
        <w:jc w:val="left"/>
        <w:rPr>
          <w:rFonts w:eastAsia="仿宋_GB2312"/>
          <w:sz w:val="32"/>
          <w:szCs w:val="32"/>
        </w:rPr>
      </w:pPr>
    </w:p>
    <w:p w:rsidR="004E2B83" w:rsidRPr="00E84D81" w:rsidRDefault="00D4144A" w:rsidP="00E84D81">
      <w:pPr>
        <w:autoSpaceDE w:val="0"/>
        <w:autoSpaceDN w:val="0"/>
        <w:adjustRightInd w:val="0"/>
        <w:spacing w:line="520" w:lineRule="exact"/>
        <w:jc w:val="center"/>
        <w:rPr>
          <w:rFonts w:eastAsia="黑体"/>
          <w:kern w:val="0"/>
          <w:sz w:val="32"/>
          <w:szCs w:val="32"/>
        </w:rPr>
      </w:pPr>
      <w:r w:rsidRPr="00E84D81">
        <w:rPr>
          <w:rFonts w:eastAsia="黑体"/>
          <w:kern w:val="0"/>
          <w:sz w:val="28"/>
          <w:szCs w:val="32"/>
        </w:rPr>
        <w:t>表</w:t>
      </w:r>
      <w:r w:rsidRPr="00E84D81">
        <w:rPr>
          <w:rFonts w:eastAsia="黑体"/>
          <w:kern w:val="0"/>
          <w:sz w:val="28"/>
          <w:szCs w:val="32"/>
        </w:rPr>
        <w:t xml:space="preserve">4 </w:t>
      </w:r>
      <w:r w:rsidRPr="00E84D81">
        <w:rPr>
          <w:rFonts w:eastAsia="黑体"/>
          <w:kern w:val="0"/>
          <w:sz w:val="28"/>
          <w:szCs w:val="32"/>
        </w:rPr>
        <w:t>唇部丰满度参考量表（</w:t>
      </w:r>
      <w:r w:rsidRPr="00E84D81">
        <w:rPr>
          <w:rFonts w:eastAsia="黑体"/>
          <w:kern w:val="0"/>
          <w:sz w:val="28"/>
          <w:szCs w:val="32"/>
        </w:rPr>
        <w:t>LFS2</w:t>
      </w:r>
      <w:r w:rsidRPr="00E84D81">
        <w:rPr>
          <w:rFonts w:eastAsia="黑体"/>
          <w:kern w:val="0"/>
          <w:sz w:val="28"/>
          <w:szCs w:val="32"/>
        </w:rPr>
        <w:t>）（示例）</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008"/>
        <w:gridCol w:w="1368"/>
        <w:gridCol w:w="6146"/>
      </w:tblGrid>
      <w:tr w:rsidR="004E2B83" w:rsidRPr="00E84D81" w:rsidTr="00C606F0">
        <w:trPr>
          <w:trHeight w:val="454"/>
          <w:jc w:val="center"/>
        </w:trPr>
        <w:tc>
          <w:tcPr>
            <w:tcW w:w="1008"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lastRenderedPageBreak/>
              <w:t>评分</w:t>
            </w:r>
          </w:p>
        </w:tc>
        <w:tc>
          <w:tcPr>
            <w:tcW w:w="1368"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评价</w:t>
            </w:r>
          </w:p>
        </w:tc>
        <w:tc>
          <w:tcPr>
            <w:tcW w:w="6146"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特征描述</w:t>
            </w:r>
          </w:p>
        </w:tc>
      </w:tr>
      <w:tr w:rsidR="004E2B83" w:rsidRPr="00E84D81" w:rsidTr="00C606F0">
        <w:trPr>
          <w:trHeight w:val="454"/>
          <w:jc w:val="center"/>
        </w:trPr>
        <w:tc>
          <w:tcPr>
            <w:tcW w:w="1008" w:type="dxa"/>
            <w:tcBorders>
              <w:top w:val="single" w:sz="4" w:space="0" w:color="auto"/>
            </w:tcBorders>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4</w:t>
            </w:r>
          </w:p>
        </w:tc>
        <w:tc>
          <w:tcPr>
            <w:tcW w:w="1368" w:type="dxa"/>
            <w:tcBorders>
              <w:top w:val="single" w:sz="4" w:space="0" w:color="auto"/>
            </w:tcBorders>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非常明显</w:t>
            </w:r>
          </w:p>
        </w:tc>
        <w:tc>
          <w:tcPr>
            <w:tcW w:w="6146" w:type="dxa"/>
            <w:tcBorders>
              <w:top w:val="single" w:sz="4" w:space="0" w:color="auto"/>
            </w:tcBorders>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显露非常明显的红唇，下唇翘起，上唇翘起。</w:t>
            </w:r>
          </w:p>
        </w:tc>
      </w:tr>
      <w:tr w:rsidR="004E2B83" w:rsidRPr="00E84D81" w:rsidTr="00C606F0">
        <w:trPr>
          <w:trHeight w:val="454"/>
          <w:jc w:val="center"/>
        </w:trPr>
        <w:tc>
          <w:tcPr>
            <w:tcW w:w="100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3</w:t>
            </w:r>
          </w:p>
        </w:tc>
        <w:tc>
          <w:tcPr>
            <w:tcW w:w="136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明显</w:t>
            </w:r>
          </w:p>
        </w:tc>
        <w:tc>
          <w:tcPr>
            <w:tcW w:w="6146"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显露明显的红唇，下唇翘起。</w:t>
            </w:r>
          </w:p>
        </w:tc>
      </w:tr>
      <w:tr w:rsidR="004E2B83" w:rsidRPr="00E84D81" w:rsidTr="00C606F0">
        <w:trPr>
          <w:trHeight w:val="454"/>
          <w:jc w:val="center"/>
        </w:trPr>
        <w:tc>
          <w:tcPr>
            <w:tcW w:w="100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2</w:t>
            </w:r>
          </w:p>
        </w:tc>
        <w:tc>
          <w:tcPr>
            <w:tcW w:w="136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中度</w:t>
            </w:r>
          </w:p>
        </w:tc>
        <w:tc>
          <w:tcPr>
            <w:tcW w:w="6146"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显露中度红唇，下唇轻微撅起。</w:t>
            </w:r>
          </w:p>
        </w:tc>
      </w:tr>
      <w:tr w:rsidR="004E2B83" w:rsidRPr="00E84D81" w:rsidTr="00C606F0">
        <w:trPr>
          <w:trHeight w:val="454"/>
          <w:jc w:val="center"/>
        </w:trPr>
        <w:tc>
          <w:tcPr>
            <w:tcW w:w="100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1</w:t>
            </w:r>
          </w:p>
        </w:tc>
        <w:tc>
          <w:tcPr>
            <w:tcW w:w="136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轻度</w:t>
            </w:r>
          </w:p>
        </w:tc>
        <w:tc>
          <w:tcPr>
            <w:tcW w:w="6146"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显露一些红唇，下唇未翘起。</w:t>
            </w:r>
          </w:p>
        </w:tc>
      </w:tr>
      <w:tr w:rsidR="004E2B83" w:rsidRPr="00E84D81" w:rsidTr="00C606F0">
        <w:trPr>
          <w:trHeight w:val="454"/>
          <w:jc w:val="center"/>
        </w:trPr>
        <w:tc>
          <w:tcPr>
            <w:tcW w:w="100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0</w:t>
            </w:r>
          </w:p>
        </w:tc>
        <w:tc>
          <w:tcPr>
            <w:tcW w:w="1368"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轻微</w:t>
            </w:r>
          </w:p>
        </w:tc>
        <w:tc>
          <w:tcPr>
            <w:tcW w:w="6146"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扁平或几乎扁平的轮廓，显露极少的红唇。</w:t>
            </w:r>
          </w:p>
        </w:tc>
      </w:tr>
    </w:tbl>
    <w:p w:rsidR="007C383D" w:rsidRDefault="00C606F0" w:rsidP="00BF381B">
      <w:pPr>
        <w:autoSpaceDE w:val="0"/>
        <w:autoSpaceDN w:val="0"/>
        <w:adjustRightInd w:val="0"/>
        <w:spacing w:line="520" w:lineRule="exact"/>
        <w:jc w:val="left"/>
        <w:rPr>
          <w:rFonts w:eastAsia="仿宋_GB2312"/>
          <w:kern w:val="0"/>
          <w:sz w:val="32"/>
          <w:szCs w:val="32"/>
        </w:rPr>
      </w:pPr>
      <w:r>
        <w:rPr>
          <w:rFonts w:eastAsia="仿宋_GB2312" w:hint="eastAsia"/>
          <w:kern w:val="0"/>
          <w:sz w:val="32"/>
          <w:szCs w:val="32"/>
        </w:rPr>
        <w:t xml:space="preserve">    </w:t>
      </w:r>
    </w:p>
    <w:p w:rsidR="004E2B83" w:rsidRDefault="007C383D" w:rsidP="00BF381B">
      <w:pPr>
        <w:autoSpaceDE w:val="0"/>
        <w:autoSpaceDN w:val="0"/>
        <w:adjustRightInd w:val="0"/>
        <w:spacing w:line="520" w:lineRule="exact"/>
        <w:jc w:val="left"/>
        <w:rPr>
          <w:rFonts w:eastAsia="仿宋_GB2312"/>
          <w:sz w:val="32"/>
          <w:szCs w:val="32"/>
        </w:rPr>
      </w:pPr>
      <w:r>
        <w:rPr>
          <w:rFonts w:eastAsia="仿宋_GB2312" w:hint="eastAsia"/>
          <w:kern w:val="0"/>
          <w:sz w:val="32"/>
          <w:szCs w:val="32"/>
        </w:rPr>
        <w:t xml:space="preserve">    </w:t>
      </w:r>
      <w:r w:rsidR="00D4144A" w:rsidRPr="00E84D81">
        <w:rPr>
          <w:rFonts w:eastAsia="仿宋_GB2312"/>
          <w:kern w:val="0"/>
          <w:sz w:val="32"/>
          <w:szCs w:val="32"/>
        </w:rPr>
        <w:t>如对于注射用交联透明质酸钠凝胶，若适用范围为用于注射到</w:t>
      </w:r>
      <w:r w:rsidR="00842FE9">
        <w:rPr>
          <w:rFonts w:eastAsia="仿宋_GB2312"/>
          <w:kern w:val="0"/>
          <w:sz w:val="32"/>
          <w:szCs w:val="32"/>
        </w:rPr>
        <w:t>骨膜上层</w:t>
      </w:r>
      <w:r w:rsidR="00D4144A" w:rsidRPr="00E84D81">
        <w:rPr>
          <w:rFonts w:eastAsia="仿宋_GB2312"/>
          <w:kern w:val="0"/>
          <w:sz w:val="32"/>
          <w:szCs w:val="32"/>
        </w:rPr>
        <w:t>，填充下颌区域，以改善轻度至中度下颌后缩患者的下颌轮廓。</w:t>
      </w:r>
      <w:r w:rsidR="00D4144A" w:rsidRPr="00E84D81">
        <w:rPr>
          <w:rFonts w:eastAsia="仿宋_GB2312"/>
          <w:sz w:val="32"/>
          <w:szCs w:val="32"/>
        </w:rPr>
        <w:t>建议</w:t>
      </w:r>
      <w:r w:rsidR="00C253A8">
        <w:rPr>
          <w:rFonts w:eastAsia="仿宋_GB2312" w:hint="eastAsia"/>
          <w:sz w:val="32"/>
          <w:szCs w:val="32"/>
        </w:rPr>
        <w:t>将</w:t>
      </w:r>
      <w:r w:rsidR="00D4144A" w:rsidRPr="00E84D81">
        <w:rPr>
          <w:rFonts w:eastAsia="仿宋_GB2312"/>
          <w:sz w:val="32"/>
          <w:szCs w:val="32"/>
        </w:rPr>
        <w:t>观察末次注射后的治疗有效率</w:t>
      </w:r>
      <w:r w:rsidR="00C253A8">
        <w:rPr>
          <w:rFonts w:eastAsia="仿宋_GB2312" w:hint="eastAsia"/>
          <w:sz w:val="32"/>
          <w:szCs w:val="32"/>
        </w:rPr>
        <w:t>作为</w:t>
      </w:r>
      <w:r w:rsidR="00C253A8" w:rsidRPr="00E84D81">
        <w:rPr>
          <w:rFonts w:eastAsia="仿宋_GB2312"/>
          <w:sz w:val="32"/>
          <w:szCs w:val="32"/>
        </w:rPr>
        <w:t>主要评价指标</w:t>
      </w:r>
      <w:r w:rsidR="00D4144A" w:rsidRPr="00E84D81">
        <w:rPr>
          <w:rFonts w:eastAsia="仿宋_GB2312"/>
          <w:sz w:val="32"/>
          <w:szCs w:val="32"/>
        </w:rPr>
        <w:t>。如可采用</w:t>
      </w:r>
      <w:r w:rsidR="00C253A8" w:rsidRPr="00E84D81">
        <w:rPr>
          <w:rFonts w:eastAsia="仿宋_GB2312"/>
          <w:sz w:val="32"/>
          <w:szCs w:val="32"/>
        </w:rPr>
        <w:t>Galderma</w:t>
      </w:r>
      <w:r w:rsidR="00C253A8" w:rsidRPr="00E84D81">
        <w:rPr>
          <w:rFonts w:eastAsia="仿宋_GB2312"/>
          <w:sz w:val="32"/>
          <w:szCs w:val="32"/>
        </w:rPr>
        <w:t>下颌后缩评估量表</w:t>
      </w:r>
      <w:r w:rsidR="00D4144A" w:rsidRPr="00E84D81">
        <w:rPr>
          <w:rFonts w:eastAsia="仿宋_GB2312"/>
          <w:sz w:val="32"/>
          <w:szCs w:val="32"/>
        </w:rPr>
        <w:t>评分（</w:t>
      </w:r>
      <w:r w:rsidR="00C253A8" w:rsidRPr="00E84D81">
        <w:rPr>
          <w:rFonts w:eastAsia="仿宋_GB2312"/>
          <w:sz w:val="32"/>
          <w:szCs w:val="32"/>
        </w:rPr>
        <w:t>GCRS</w:t>
      </w:r>
      <w:r w:rsidR="00D4144A" w:rsidRPr="00E84D81">
        <w:rPr>
          <w:rFonts w:eastAsia="仿宋_GB2312"/>
          <w:sz w:val="32"/>
          <w:szCs w:val="32"/>
        </w:rPr>
        <w:t>，见表</w:t>
      </w:r>
      <w:r w:rsidR="00D4144A" w:rsidRPr="00E84D81">
        <w:rPr>
          <w:rFonts w:eastAsia="仿宋_GB2312"/>
          <w:sz w:val="32"/>
          <w:szCs w:val="32"/>
        </w:rPr>
        <w:t>5</w:t>
      </w:r>
      <w:r w:rsidR="00D4144A" w:rsidRPr="00E84D81">
        <w:rPr>
          <w:rFonts w:eastAsia="仿宋_GB2312"/>
          <w:sz w:val="32"/>
          <w:szCs w:val="32"/>
        </w:rPr>
        <w:t>）。与基线相比，</w:t>
      </w:r>
      <w:r w:rsidR="00D4144A" w:rsidRPr="00E84D81">
        <w:rPr>
          <w:rFonts w:eastAsia="仿宋_GB2312"/>
          <w:sz w:val="32"/>
          <w:szCs w:val="32"/>
        </w:rPr>
        <w:t>GCRS</w:t>
      </w:r>
      <w:r w:rsidR="00D4144A" w:rsidRPr="00E84D81">
        <w:rPr>
          <w:rFonts w:eastAsia="仿宋_GB2312"/>
          <w:sz w:val="32"/>
          <w:szCs w:val="32"/>
        </w:rPr>
        <w:t>评分显示改善</w:t>
      </w:r>
      <w:r w:rsidR="00D4144A" w:rsidRPr="00E84D81">
        <w:rPr>
          <w:rFonts w:eastAsia="仿宋_GB2312"/>
          <w:sz w:val="32"/>
          <w:szCs w:val="32"/>
        </w:rPr>
        <w:t>≥1</w:t>
      </w:r>
      <w:r w:rsidR="00D4144A" w:rsidRPr="00E84D81">
        <w:rPr>
          <w:rFonts w:eastAsia="仿宋_GB2312"/>
          <w:sz w:val="32"/>
          <w:szCs w:val="32"/>
        </w:rPr>
        <w:t>级的受试者被视为治疗有效。</w:t>
      </w:r>
    </w:p>
    <w:p w:rsidR="00C606F0" w:rsidRPr="00E84D81" w:rsidRDefault="00C606F0" w:rsidP="00C606F0">
      <w:pPr>
        <w:autoSpaceDE w:val="0"/>
        <w:autoSpaceDN w:val="0"/>
        <w:adjustRightInd w:val="0"/>
        <w:spacing w:line="520" w:lineRule="exact"/>
        <w:jc w:val="left"/>
        <w:rPr>
          <w:rFonts w:eastAsia="仿宋_GB2312"/>
          <w:sz w:val="32"/>
          <w:szCs w:val="32"/>
        </w:rPr>
      </w:pPr>
    </w:p>
    <w:p w:rsidR="004E2B83" w:rsidRPr="00E84D81" w:rsidRDefault="00D4144A" w:rsidP="00E84D81">
      <w:pPr>
        <w:autoSpaceDE w:val="0"/>
        <w:autoSpaceDN w:val="0"/>
        <w:adjustRightInd w:val="0"/>
        <w:spacing w:line="520" w:lineRule="exact"/>
        <w:jc w:val="center"/>
        <w:rPr>
          <w:rFonts w:eastAsia="黑体"/>
          <w:kern w:val="0"/>
          <w:sz w:val="32"/>
          <w:szCs w:val="32"/>
        </w:rPr>
      </w:pPr>
      <w:r w:rsidRPr="00E84D81">
        <w:rPr>
          <w:rFonts w:eastAsia="黑体"/>
          <w:kern w:val="0"/>
          <w:sz w:val="28"/>
          <w:szCs w:val="32"/>
        </w:rPr>
        <w:t>表</w:t>
      </w:r>
      <w:r w:rsidRPr="00E84D81">
        <w:rPr>
          <w:rFonts w:eastAsia="黑体"/>
          <w:kern w:val="0"/>
          <w:sz w:val="28"/>
          <w:szCs w:val="32"/>
        </w:rPr>
        <w:t>5 Galderma</w:t>
      </w:r>
      <w:r w:rsidRPr="00E84D81">
        <w:rPr>
          <w:rFonts w:eastAsia="黑体"/>
          <w:kern w:val="0"/>
          <w:sz w:val="28"/>
          <w:szCs w:val="32"/>
        </w:rPr>
        <w:t>下颌后缩评估量表（</w:t>
      </w:r>
      <w:r w:rsidRPr="00E84D81">
        <w:rPr>
          <w:rFonts w:eastAsia="仿宋_GB2312"/>
          <w:sz w:val="32"/>
          <w:szCs w:val="32"/>
        </w:rPr>
        <w:t>GCRS</w:t>
      </w:r>
      <w:r w:rsidRPr="00E84D81">
        <w:rPr>
          <w:rFonts w:eastAsia="黑体"/>
          <w:kern w:val="0"/>
          <w:sz w:val="28"/>
          <w:szCs w:val="32"/>
        </w:rPr>
        <w:t>）（示例）</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817"/>
        <w:gridCol w:w="1451"/>
        <w:gridCol w:w="6254"/>
      </w:tblGrid>
      <w:tr w:rsidR="004E2B83" w:rsidRPr="00E84D81" w:rsidTr="00C606F0">
        <w:trPr>
          <w:trHeight w:val="454"/>
          <w:jc w:val="center"/>
        </w:trPr>
        <w:tc>
          <w:tcPr>
            <w:tcW w:w="817" w:type="dxa"/>
            <w:tcBorders>
              <w:top w:val="single" w:sz="4" w:space="0" w:color="auto"/>
              <w:bottom w:val="single" w:sz="4" w:space="0" w:color="auto"/>
            </w:tcBorders>
            <w:vAlign w:val="center"/>
          </w:tcPr>
          <w:p w:rsidR="004E2B83" w:rsidRPr="00C606F0" w:rsidRDefault="00D4144A" w:rsidP="00C139AA">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评分</w:t>
            </w:r>
          </w:p>
        </w:tc>
        <w:tc>
          <w:tcPr>
            <w:tcW w:w="1451" w:type="dxa"/>
            <w:tcBorders>
              <w:top w:val="single" w:sz="4" w:space="0" w:color="auto"/>
              <w:bottom w:val="single" w:sz="4" w:space="0" w:color="auto"/>
            </w:tcBorders>
            <w:vAlign w:val="center"/>
          </w:tcPr>
          <w:p w:rsidR="004E2B83" w:rsidRPr="00C606F0" w:rsidRDefault="00D4144A" w:rsidP="00C139AA">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评价</w:t>
            </w:r>
          </w:p>
        </w:tc>
        <w:tc>
          <w:tcPr>
            <w:tcW w:w="6254" w:type="dxa"/>
            <w:tcBorders>
              <w:top w:val="single" w:sz="4" w:space="0" w:color="auto"/>
              <w:bottom w:val="single" w:sz="4" w:space="0" w:color="auto"/>
            </w:tcBorders>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特征描述</w:t>
            </w:r>
          </w:p>
        </w:tc>
      </w:tr>
      <w:tr w:rsidR="004E2B83" w:rsidRPr="00E84D81" w:rsidTr="00C606F0">
        <w:trPr>
          <w:trHeight w:val="454"/>
          <w:jc w:val="center"/>
        </w:trPr>
        <w:tc>
          <w:tcPr>
            <w:tcW w:w="817" w:type="dxa"/>
            <w:tcBorders>
              <w:top w:val="single" w:sz="4" w:space="0" w:color="auto"/>
            </w:tcBorders>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0</w:t>
            </w:r>
          </w:p>
        </w:tc>
        <w:tc>
          <w:tcPr>
            <w:tcW w:w="1451" w:type="dxa"/>
            <w:tcBorders>
              <w:top w:val="single" w:sz="4" w:space="0" w:color="auto"/>
            </w:tcBorders>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无后缩</w:t>
            </w:r>
          </w:p>
        </w:tc>
        <w:tc>
          <w:tcPr>
            <w:tcW w:w="6254" w:type="dxa"/>
            <w:tcBorders>
              <w:top w:val="single" w:sz="4" w:space="0" w:color="auto"/>
            </w:tcBorders>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下颌的最前端位于或接近于下唇缘垂线。</w:t>
            </w:r>
          </w:p>
        </w:tc>
      </w:tr>
      <w:tr w:rsidR="004E2B83" w:rsidRPr="00E84D81" w:rsidTr="00C606F0">
        <w:trPr>
          <w:trHeight w:val="454"/>
          <w:jc w:val="center"/>
        </w:trPr>
        <w:tc>
          <w:tcPr>
            <w:tcW w:w="817"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1</w:t>
            </w:r>
          </w:p>
        </w:tc>
        <w:tc>
          <w:tcPr>
            <w:tcW w:w="1451"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轻度后缩</w:t>
            </w:r>
          </w:p>
        </w:tc>
        <w:tc>
          <w:tcPr>
            <w:tcW w:w="6254"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下颌的最前端明显回缩，但位于下唇缘垂线和口角垂线之间中线的前侧。</w:t>
            </w:r>
          </w:p>
        </w:tc>
      </w:tr>
      <w:tr w:rsidR="004E2B83" w:rsidRPr="00E84D81" w:rsidTr="00C606F0">
        <w:trPr>
          <w:trHeight w:val="454"/>
          <w:jc w:val="center"/>
        </w:trPr>
        <w:tc>
          <w:tcPr>
            <w:tcW w:w="817"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2</w:t>
            </w:r>
          </w:p>
        </w:tc>
        <w:tc>
          <w:tcPr>
            <w:tcW w:w="1451"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中度</w:t>
            </w:r>
            <w:r w:rsidR="00057DEB">
              <w:rPr>
                <w:rFonts w:eastAsia="仿宋_GB2312" w:hint="eastAsia"/>
                <w:kern w:val="0"/>
                <w:sz w:val="28"/>
                <w:szCs w:val="28"/>
              </w:rPr>
              <w:t>后缩</w:t>
            </w:r>
          </w:p>
        </w:tc>
        <w:tc>
          <w:tcPr>
            <w:tcW w:w="6254"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下颌的最前端回缩大约位于下唇缘垂线和口角垂线之间的中线位置。</w:t>
            </w:r>
          </w:p>
        </w:tc>
      </w:tr>
      <w:tr w:rsidR="004E2B83" w:rsidRPr="00E84D81" w:rsidTr="00C606F0">
        <w:trPr>
          <w:trHeight w:val="454"/>
          <w:jc w:val="center"/>
        </w:trPr>
        <w:tc>
          <w:tcPr>
            <w:tcW w:w="817" w:type="dxa"/>
            <w:vAlign w:val="center"/>
          </w:tcPr>
          <w:p w:rsidR="004E2B83" w:rsidRPr="00C606F0" w:rsidRDefault="00D4144A" w:rsidP="00C606F0">
            <w:pPr>
              <w:autoSpaceDE w:val="0"/>
              <w:autoSpaceDN w:val="0"/>
              <w:adjustRightInd w:val="0"/>
              <w:spacing w:line="520" w:lineRule="exact"/>
              <w:jc w:val="center"/>
              <w:rPr>
                <w:rFonts w:eastAsia="仿宋_GB2312"/>
                <w:kern w:val="0"/>
                <w:sz w:val="28"/>
                <w:szCs w:val="28"/>
              </w:rPr>
            </w:pPr>
            <w:r w:rsidRPr="00C606F0">
              <w:rPr>
                <w:rFonts w:eastAsia="仿宋_GB2312"/>
                <w:kern w:val="0"/>
                <w:sz w:val="28"/>
                <w:szCs w:val="28"/>
              </w:rPr>
              <w:t>3</w:t>
            </w:r>
          </w:p>
        </w:tc>
        <w:tc>
          <w:tcPr>
            <w:tcW w:w="1451" w:type="dxa"/>
            <w:vAlign w:val="center"/>
          </w:tcPr>
          <w:p w:rsidR="004E2B83" w:rsidRPr="00C606F0" w:rsidRDefault="00057DEB" w:rsidP="00C606F0">
            <w:pPr>
              <w:autoSpaceDE w:val="0"/>
              <w:autoSpaceDN w:val="0"/>
              <w:adjustRightInd w:val="0"/>
              <w:spacing w:line="520" w:lineRule="exact"/>
              <w:jc w:val="center"/>
              <w:rPr>
                <w:rFonts w:eastAsia="仿宋_GB2312"/>
                <w:kern w:val="0"/>
                <w:sz w:val="28"/>
                <w:szCs w:val="28"/>
              </w:rPr>
            </w:pPr>
            <w:r>
              <w:rPr>
                <w:rFonts w:eastAsia="仿宋_GB2312" w:hint="eastAsia"/>
                <w:kern w:val="0"/>
                <w:sz w:val="28"/>
                <w:szCs w:val="28"/>
              </w:rPr>
              <w:t>重</w:t>
            </w:r>
            <w:r w:rsidR="00D4144A" w:rsidRPr="00C606F0">
              <w:rPr>
                <w:rFonts w:eastAsia="仿宋_GB2312"/>
                <w:kern w:val="0"/>
                <w:sz w:val="28"/>
                <w:szCs w:val="28"/>
              </w:rPr>
              <w:t>度</w:t>
            </w:r>
            <w:r>
              <w:rPr>
                <w:rFonts w:eastAsia="仿宋_GB2312" w:hint="eastAsia"/>
                <w:kern w:val="0"/>
                <w:sz w:val="28"/>
                <w:szCs w:val="28"/>
              </w:rPr>
              <w:t>后缩</w:t>
            </w:r>
          </w:p>
        </w:tc>
        <w:tc>
          <w:tcPr>
            <w:tcW w:w="6254" w:type="dxa"/>
            <w:vAlign w:val="center"/>
          </w:tcPr>
          <w:p w:rsidR="004E2B83" w:rsidRPr="00C606F0" w:rsidRDefault="00D4144A" w:rsidP="00E84D81">
            <w:pPr>
              <w:autoSpaceDE w:val="0"/>
              <w:autoSpaceDN w:val="0"/>
              <w:adjustRightInd w:val="0"/>
              <w:spacing w:line="520" w:lineRule="exact"/>
              <w:rPr>
                <w:rFonts w:eastAsia="仿宋_GB2312"/>
                <w:kern w:val="0"/>
                <w:sz w:val="28"/>
                <w:szCs w:val="28"/>
              </w:rPr>
            </w:pPr>
            <w:r w:rsidRPr="00C606F0">
              <w:rPr>
                <w:rFonts w:eastAsia="仿宋_GB2312"/>
                <w:kern w:val="0"/>
                <w:sz w:val="28"/>
                <w:szCs w:val="28"/>
              </w:rPr>
              <w:t>下颌的最前端明显位于下唇缘垂线和口角垂线之间中线的后侧。</w:t>
            </w:r>
          </w:p>
        </w:tc>
      </w:tr>
    </w:tbl>
    <w:p w:rsidR="004E2B83" w:rsidRPr="00E84D81" w:rsidRDefault="004E2B83" w:rsidP="00E84D81">
      <w:pPr>
        <w:autoSpaceDE w:val="0"/>
        <w:autoSpaceDN w:val="0"/>
        <w:adjustRightInd w:val="0"/>
        <w:spacing w:line="520" w:lineRule="exact"/>
        <w:ind w:firstLineChars="200" w:firstLine="640"/>
        <w:jc w:val="left"/>
        <w:rPr>
          <w:rFonts w:eastAsia="仿宋_GB2312"/>
          <w:kern w:val="0"/>
          <w:sz w:val="32"/>
          <w:szCs w:val="32"/>
        </w:rPr>
      </w:pPr>
    </w:p>
    <w:p w:rsidR="007F3693" w:rsidRPr="007F3693" w:rsidRDefault="007F3693" w:rsidP="007F3693">
      <w:pPr>
        <w:overflowPunct w:val="0"/>
        <w:autoSpaceDE w:val="0"/>
        <w:autoSpaceDN w:val="0"/>
        <w:adjustRightInd w:val="0"/>
        <w:spacing w:line="520" w:lineRule="exact"/>
        <w:ind w:firstLineChars="200" w:firstLine="640"/>
        <w:rPr>
          <w:rFonts w:eastAsia="仿宋_GB2312"/>
          <w:sz w:val="32"/>
          <w:szCs w:val="32"/>
        </w:rPr>
      </w:pPr>
      <w:r>
        <w:rPr>
          <w:rFonts w:eastAsia="仿宋_GB2312"/>
          <w:kern w:val="0"/>
          <w:sz w:val="32"/>
          <w:szCs w:val="32"/>
        </w:rPr>
        <w:t>有效性评价一般由独立于注射操作者的专业人员</w:t>
      </w:r>
      <w:r>
        <w:rPr>
          <w:rFonts w:eastAsia="仿宋_GB2312" w:hint="eastAsia"/>
          <w:kern w:val="0"/>
          <w:sz w:val="32"/>
          <w:szCs w:val="32"/>
        </w:rPr>
        <w:t>进行评估</w:t>
      </w:r>
      <w:r w:rsidRPr="00E84D81">
        <w:rPr>
          <w:rFonts w:eastAsia="仿宋_GB2312"/>
          <w:sz w:val="32"/>
          <w:szCs w:val="32"/>
        </w:rPr>
        <w:t>。</w:t>
      </w:r>
      <w:r w:rsidR="00D4144A" w:rsidRPr="00E84D81">
        <w:rPr>
          <w:rFonts w:eastAsia="仿宋_GB2312"/>
          <w:kern w:val="0"/>
          <w:sz w:val="32"/>
          <w:szCs w:val="32"/>
        </w:rPr>
        <w:t>若采用其他指标作为主要有效性评价指标需提供充分</w:t>
      </w:r>
      <w:r w:rsidR="00D4144A" w:rsidRPr="00E84D81">
        <w:rPr>
          <w:rFonts w:eastAsia="仿宋_GB2312"/>
          <w:kern w:val="0"/>
          <w:sz w:val="32"/>
          <w:szCs w:val="32"/>
        </w:rPr>
        <w:lastRenderedPageBreak/>
        <w:t>依据</w:t>
      </w:r>
      <w:r>
        <w:rPr>
          <w:rFonts w:eastAsia="仿宋_GB2312" w:hint="eastAsia"/>
          <w:kern w:val="0"/>
          <w:sz w:val="32"/>
          <w:szCs w:val="32"/>
        </w:rPr>
        <w:t>，</w:t>
      </w:r>
      <w:r w:rsidRPr="00E84D81">
        <w:rPr>
          <w:rFonts w:eastAsia="仿宋_GB2312"/>
          <w:kern w:val="0"/>
          <w:sz w:val="32"/>
          <w:szCs w:val="32"/>
        </w:rPr>
        <w:t>如主要评价指标采用其他评价皱纹严重程度参考量表，量表应经过验证并建议向临床机构提供各分级相对应的皱纹图片以方便研究者进行参考判断分级。</w:t>
      </w:r>
    </w:p>
    <w:p w:rsidR="004E2B83" w:rsidRPr="00E84D81" w:rsidRDefault="00D4144A" w:rsidP="00E84D81">
      <w:pPr>
        <w:overflowPunct w:val="0"/>
        <w:autoSpaceDE w:val="0"/>
        <w:autoSpaceDN w:val="0"/>
        <w:adjustRightInd w:val="0"/>
        <w:spacing w:line="520" w:lineRule="exact"/>
        <w:ind w:firstLineChars="200" w:firstLine="640"/>
        <w:rPr>
          <w:rFonts w:eastAsia="仿宋_GB2312"/>
          <w:sz w:val="32"/>
          <w:szCs w:val="32"/>
        </w:rPr>
      </w:pPr>
      <w:r w:rsidRPr="00E84D81">
        <w:rPr>
          <w:rFonts w:eastAsia="仿宋_GB2312"/>
          <w:sz w:val="32"/>
          <w:szCs w:val="32"/>
        </w:rPr>
        <w:t>试验方案中需明确主要评价指标采集数据的方法（如现场评判还是根据照片评判），需采取措施尽量减小其他因素（如环境光线、观察或拍照角度等）对评判结果造成的影响。如采集数据采用临床公认的设备测量，需明确设备名称、型号、生产厂家等基本信息，并提供其测量结果准确性的研究验证资料，如设备按照医疗器械管理需取得医疗器械注册证。</w:t>
      </w:r>
    </w:p>
    <w:p w:rsidR="004E2B83" w:rsidRPr="00E84D81" w:rsidRDefault="00D4144A" w:rsidP="00E84D81">
      <w:pPr>
        <w:autoSpaceDE w:val="0"/>
        <w:autoSpaceDN w:val="0"/>
        <w:adjustRightInd w:val="0"/>
        <w:spacing w:line="520" w:lineRule="exact"/>
        <w:ind w:firstLineChars="200" w:firstLine="640"/>
        <w:jc w:val="left"/>
        <w:rPr>
          <w:rFonts w:eastAsia="仿宋_GB2312"/>
          <w:kern w:val="0"/>
          <w:sz w:val="32"/>
          <w:szCs w:val="32"/>
        </w:rPr>
      </w:pPr>
      <w:r w:rsidRPr="00E84D81">
        <w:rPr>
          <w:rFonts w:eastAsia="仿宋_GB2312"/>
          <w:kern w:val="0"/>
          <w:sz w:val="32"/>
          <w:szCs w:val="32"/>
        </w:rPr>
        <w:t>2.</w:t>
      </w:r>
      <w:r w:rsidRPr="00E84D81">
        <w:rPr>
          <w:rFonts w:eastAsia="仿宋_GB2312"/>
          <w:kern w:val="0"/>
          <w:sz w:val="32"/>
          <w:szCs w:val="32"/>
        </w:rPr>
        <w:t>次要有效性评价指标</w:t>
      </w:r>
    </w:p>
    <w:p w:rsidR="001E3A97" w:rsidRDefault="00057DEB" w:rsidP="00057DEB">
      <w:pPr>
        <w:autoSpaceDE w:val="0"/>
        <w:autoSpaceDN w:val="0"/>
        <w:adjustRightInd w:val="0"/>
        <w:spacing w:line="520" w:lineRule="exact"/>
        <w:ind w:firstLineChars="200" w:firstLine="640"/>
        <w:rPr>
          <w:rFonts w:eastAsia="仿宋_GB2312"/>
          <w:kern w:val="0"/>
          <w:sz w:val="32"/>
          <w:szCs w:val="32"/>
        </w:rPr>
      </w:pPr>
      <w:r w:rsidRPr="00057DEB">
        <w:rPr>
          <w:rFonts w:eastAsia="仿宋_GB2312" w:hint="eastAsia"/>
          <w:kern w:val="0"/>
          <w:sz w:val="32"/>
          <w:szCs w:val="32"/>
        </w:rPr>
        <w:t>次要有效性评价指标建议包括研究者的整体美观改善效果评价（</w:t>
      </w:r>
      <w:r w:rsidR="00C253A8">
        <w:rPr>
          <w:rFonts w:eastAsia="仿宋_GB2312"/>
          <w:kern w:val="0"/>
          <w:sz w:val="32"/>
          <w:szCs w:val="32"/>
        </w:rPr>
        <w:t>Global</w:t>
      </w:r>
      <w:r w:rsidR="00C253A8">
        <w:rPr>
          <w:rFonts w:eastAsia="仿宋_GB2312" w:hint="eastAsia"/>
          <w:kern w:val="0"/>
          <w:sz w:val="32"/>
          <w:szCs w:val="32"/>
        </w:rPr>
        <w:t xml:space="preserve"> Aesthetic Improvement Scale, </w:t>
      </w:r>
      <w:r w:rsidRPr="00057DEB">
        <w:rPr>
          <w:rFonts w:eastAsia="仿宋_GB2312" w:hint="eastAsia"/>
          <w:kern w:val="0"/>
          <w:sz w:val="32"/>
          <w:szCs w:val="32"/>
        </w:rPr>
        <w:t>GAIS</w:t>
      </w:r>
      <w:r w:rsidRPr="00057DEB">
        <w:rPr>
          <w:rFonts w:eastAsia="仿宋_GB2312" w:hint="eastAsia"/>
          <w:kern w:val="0"/>
          <w:sz w:val="32"/>
          <w:szCs w:val="32"/>
        </w:rPr>
        <w:t>），</w:t>
      </w:r>
      <w:r w:rsidR="001E3A97" w:rsidRPr="00057DEB">
        <w:rPr>
          <w:rFonts w:eastAsia="仿宋_GB2312" w:hint="eastAsia"/>
          <w:kern w:val="0"/>
          <w:sz w:val="32"/>
          <w:szCs w:val="32"/>
        </w:rPr>
        <w:t>受试者的整体美观改善效果评价（</w:t>
      </w:r>
      <w:r w:rsidR="001E3A97" w:rsidRPr="00057DEB">
        <w:rPr>
          <w:rFonts w:eastAsia="仿宋_GB2312" w:hint="eastAsia"/>
          <w:kern w:val="0"/>
          <w:sz w:val="32"/>
          <w:szCs w:val="32"/>
        </w:rPr>
        <w:t>GAIS</w:t>
      </w:r>
      <w:r w:rsidR="001E3A97" w:rsidRPr="00057DEB">
        <w:rPr>
          <w:rFonts w:eastAsia="仿宋_GB2312" w:hint="eastAsia"/>
          <w:kern w:val="0"/>
          <w:sz w:val="32"/>
          <w:szCs w:val="32"/>
        </w:rPr>
        <w:t>）</w:t>
      </w:r>
      <w:r w:rsidR="001E3A97">
        <w:rPr>
          <w:rFonts w:eastAsia="仿宋_GB2312" w:hint="eastAsia"/>
          <w:kern w:val="0"/>
          <w:sz w:val="32"/>
          <w:szCs w:val="32"/>
        </w:rPr>
        <w:t>。</w:t>
      </w:r>
    </w:p>
    <w:p w:rsidR="001E3A97" w:rsidRDefault="001E3A97" w:rsidP="001E3A97">
      <w:pPr>
        <w:autoSpaceDE w:val="0"/>
        <w:autoSpaceDN w:val="0"/>
        <w:adjustRightInd w:val="0"/>
        <w:spacing w:line="520" w:lineRule="exact"/>
        <w:ind w:firstLineChars="200" w:firstLine="640"/>
        <w:jc w:val="left"/>
        <w:rPr>
          <w:rFonts w:eastAsia="仿宋_GB2312"/>
          <w:kern w:val="0"/>
          <w:sz w:val="32"/>
          <w:szCs w:val="32"/>
        </w:rPr>
      </w:pPr>
      <w:r w:rsidRPr="00E84D81">
        <w:rPr>
          <w:rFonts w:eastAsia="仿宋_GB2312"/>
          <w:kern w:val="0"/>
          <w:sz w:val="32"/>
          <w:szCs w:val="32"/>
        </w:rPr>
        <w:t>表</w:t>
      </w:r>
      <w:r w:rsidRPr="00E84D81">
        <w:rPr>
          <w:rFonts w:eastAsia="仿宋_GB2312"/>
          <w:kern w:val="0"/>
          <w:sz w:val="32"/>
          <w:szCs w:val="32"/>
        </w:rPr>
        <w:t>6</w:t>
      </w:r>
      <w:r w:rsidRPr="00E84D81">
        <w:rPr>
          <w:rFonts w:eastAsia="仿宋_GB2312"/>
          <w:kern w:val="0"/>
          <w:sz w:val="32"/>
          <w:szCs w:val="32"/>
        </w:rPr>
        <w:t>提供了全局美容效果评价分级的一个示例。</w:t>
      </w:r>
    </w:p>
    <w:p w:rsidR="001E3A97" w:rsidRPr="00E84D81" w:rsidRDefault="001E3A97" w:rsidP="001E3A97">
      <w:pPr>
        <w:autoSpaceDE w:val="0"/>
        <w:autoSpaceDN w:val="0"/>
        <w:adjustRightInd w:val="0"/>
        <w:spacing w:line="520" w:lineRule="exact"/>
        <w:ind w:firstLineChars="200" w:firstLine="640"/>
        <w:jc w:val="left"/>
        <w:rPr>
          <w:rFonts w:eastAsia="仿宋_GB2312"/>
          <w:kern w:val="0"/>
          <w:sz w:val="32"/>
          <w:szCs w:val="32"/>
        </w:rPr>
      </w:pPr>
    </w:p>
    <w:p w:rsidR="001E3A97" w:rsidRPr="00E84D81" w:rsidRDefault="001E3A97" w:rsidP="001E3A97">
      <w:pPr>
        <w:autoSpaceDE w:val="0"/>
        <w:autoSpaceDN w:val="0"/>
        <w:adjustRightInd w:val="0"/>
        <w:spacing w:line="520" w:lineRule="exact"/>
        <w:jc w:val="center"/>
        <w:rPr>
          <w:rFonts w:eastAsia="仿宋_GB2312"/>
          <w:kern w:val="0"/>
          <w:sz w:val="32"/>
          <w:szCs w:val="32"/>
        </w:rPr>
      </w:pPr>
      <w:r w:rsidRPr="00E84D81">
        <w:rPr>
          <w:rFonts w:eastAsia="黑体"/>
          <w:kern w:val="0"/>
          <w:sz w:val="28"/>
          <w:szCs w:val="32"/>
        </w:rPr>
        <w:t>表</w:t>
      </w:r>
      <w:r w:rsidRPr="00E84D81">
        <w:rPr>
          <w:rFonts w:eastAsia="黑体"/>
          <w:kern w:val="0"/>
          <w:sz w:val="28"/>
          <w:szCs w:val="32"/>
        </w:rPr>
        <w:t xml:space="preserve">6 </w:t>
      </w:r>
      <w:r w:rsidRPr="00E84D81">
        <w:rPr>
          <w:rFonts w:eastAsia="黑体"/>
          <w:kern w:val="0"/>
          <w:sz w:val="28"/>
          <w:szCs w:val="32"/>
        </w:rPr>
        <w:t>面部整体面容效果改善效果分级量表（</w:t>
      </w:r>
      <w:r w:rsidRPr="00E84D81">
        <w:rPr>
          <w:rFonts w:eastAsia="黑体"/>
          <w:kern w:val="0"/>
          <w:sz w:val="28"/>
          <w:szCs w:val="32"/>
        </w:rPr>
        <w:t>GAIS</w:t>
      </w:r>
      <w:r w:rsidRPr="00E84D81">
        <w:rPr>
          <w:rFonts w:eastAsia="黑体"/>
          <w:kern w:val="0"/>
          <w:sz w:val="28"/>
          <w:szCs w:val="32"/>
        </w:rPr>
        <w:t>）（示例）</w:t>
      </w:r>
    </w:p>
    <w:tbl>
      <w:tblPr>
        <w:tblW w:w="8520" w:type="dxa"/>
        <w:jc w:val="center"/>
        <w:tblBorders>
          <w:top w:val="single" w:sz="4" w:space="0" w:color="auto"/>
          <w:bottom w:val="single" w:sz="4" w:space="0" w:color="auto"/>
        </w:tblBorders>
        <w:tblLayout w:type="fixed"/>
        <w:tblLook w:val="04A0" w:firstRow="1" w:lastRow="0" w:firstColumn="1" w:lastColumn="0" w:noHBand="0" w:noVBand="1"/>
      </w:tblPr>
      <w:tblGrid>
        <w:gridCol w:w="1188"/>
        <w:gridCol w:w="7332"/>
      </w:tblGrid>
      <w:tr w:rsidR="001E3A97" w:rsidRPr="00E84D81" w:rsidTr="008F2200">
        <w:trPr>
          <w:trHeight w:val="397"/>
          <w:jc w:val="center"/>
        </w:trPr>
        <w:tc>
          <w:tcPr>
            <w:tcW w:w="1188" w:type="dxa"/>
            <w:tcBorders>
              <w:top w:val="single" w:sz="4" w:space="0" w:color="auto"/>
              <w:bottom w:val="single" w:sz="4" w:space="0" w:color="auto"/>
            </w:tcBorders>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分级</w:t>
            </w:r>
          </w:p>
        </w:tc>
        <w:tc>
          <w:tcPr>
            <w:tcW w:w="7332" w:type="dxa"/>
            <w:tcBorders>
              <w:top w:val="single" w:sz="4" w:space="0" w:color="auto"/>
              <w:bottom w:val="single" w:sz="4" w:space="0" w:color="auto"/>
            </w:tcBorders>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全局美容效果</w:t>
            </w:r>
          </w:p>
        </w:tc>
      </w:tr>
      <w:tr w:rsidR="001E3A97" w:rsidRPr="00E84D81" w:rsidTr="008F2200">
        <w:trPr>
          <w:trHeight w:val="397"/>
          <w:jc w:val="center"/>
        </w:trPr>
        <w:tc>
          <w:tcPr>
            <w:tcW w:w="1188" w:type="dxa"/>
            <w:tcBorders>
              <w:top w:val="single" w:sz="4" w:space="0" w:color="auto"/>
            </w:tcBorders>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1</w:t>
            </w:r>
          </w:p>
        </w:tc>
        <w:tc>
          <w:tcPr>
            <w:tcW w:w="7332" w:type="dxa"/>
            <w:tcBorders>
              <w:top w:val="single" w:sz="4" w:space="0" w:color="auto"/>
            </w:tcBorders>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改善非常明显</w:t>
            </w:r>
          </w:p>
        </w:tc>
      </w:tr>
      <w:tr w:rsidR="001E3A97" w:rsidRPr="00E84D81" w:rsidTr="008F2200">
        <w:trPr>
          <w:trHeight w:val="397"/>
          <w:jc w:val="center"/>
        </w:trPr>
        <w:tc>
          <w:tcPr>
            <w:tcW w:w="1188"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2</w:t>
            </w:r>
          </w:p>
        </w:tc>
        <w:tc>
          <w:tcPr>
            <w:tcW w:w="7332"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改善明显</w:t>
            </w:r>
          </w:p>
        </w:tc>
      </w:tr>
      <w:tr w:rsidR="001E3A97" w:rsidRPr="00E84D81" w:rsidTr="008F2200">
        <w:trPr>
          <w:trHeight w:val="397"/>
          <w:jc w:val="center"/>
        </w:trPr>
        <w:tc>
          <w:tcPr>
            <w:tcW w:w="1188"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3</w:t>
            </w:r>
          </w:p>
        </w:tc>
        <w:tc>
          <w:tcPr>
            <w:tcW w:w="7332"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有一定程度改善</w:t>
            </w:r>
          </w:p>
        </w:tc>
      </w:tr>
      <w:tr w:rsidR="001E3A97" w:rsidRPr="00E84D81" w:rsidTr="008F2200">
        <w:trPr>
          <w:trHeight w:val="397"/>
          <w:jc w:val="center"/>
        </w:trPr>
        <w:tc>
          <w:tcPr>
            <w:tcW w:w="1188"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4</w:t>
            </w:r>
          </w:p>
        </w:tc>
        <w:tc>
          <w:tcPr>
            <w:tcW w:w="7332"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没有变化</w:t>
            </w:r>
          </w:p>
        </w:tc>
      </w:tr>
      <w:tr w:rsidR="001E3A97" w:rsidRPr="00E84D81" w:rsidTr="008F2200">
        <w:trPr>
          <w:trHeight w:val="397"/>
          <w:jc w:val="center"/>
        </w:trPr>
        <w:tc>
          <w:tcPr>
            <w:tcW w:w="1188"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5</w:t>
            </w:r>
          </w:p>
        </w:tc>
        <w:tc>
          <w:tcPr>
            <w:tcW w:w="7332" w:type="dxa"/>
            <w:vAlign w:val="center"/>
          </w:tcPr>
          <w:p w:rsidR="001E3A97" w:rsidRPr="00C139AA" w:rsidRDefault="001E3A97" w:rsidP="008F2200">
            <w:pPr>
              <w:autoSpaceDE w:val="0"/>
              <w:autoSpaceDN w:val="0"/>
              <w:adjustRightInd w:val="0"/>
              <w:spacing w:line="520" w:lineRule="exact"/>
              <w:jc w:val="center"/>
              <w:rPr>
                <w:rFonts w:eastAsia="仿宋_GB2312"/>
                <w:kern w:val="0"/>
                <w:sz w:val="28"/>
                <w:szCs w:val="28"/>
              </w:rPr>
            </w:pPr>
            <w:r w:rsidRPr="00C139AA">
              <w:rPr>
                <w:rFonts w:eastAsia="仿宋_GB2312"/>
                <w:kern w:val="0"/>
                <w:sz w:val="28"/>
                <w:szCs w:val="28"/>
              </w:rPr>
              <w:t>比以前更糟</w:t>
            </w:r>
          </w:p>
        </w:tc>
      </w:tr>
    </w:tbl>
    <w:p w:rsidR="001E3A97" w:rsidRDefault="001E3A97" w:rsidP="001E3A97">
      <w:pPr>
        <w:autoSpaceDE w:val="0"/>
        <w:autoSpaceDN w:val="0"/>
        <w:adjustRightInd w:val="0"/>
        <w:spacing w:line="520" w:lineRule="exact"/>
        <w:ind w:firstLineChars="200" w:firstLine="640"/>
        <w:rPr>
          <w:rFonts w:eastAsia="仿宋_GB2312"/>
          <w:kern w:val="0"/>
          <w:sz w:val="32"/>
          <w:szCs w:val="32"/>
        </w:rPr>
      </w:pPr>
    </w:p>
    <w:p w:rsidR="001E3A97" w:rsidRDefault="001E3A97" w:rsidP="001E3A97">
      <w:pPr>
        <w:autoSpaceDE w:val="0"/>
        <w:autoSpaceDN w:val="0"/>
        <w:adjustRightInd w:val="0"/>
        <w:spacing w:line="520" w:lineRule="exact"/>
        <w:ind w:firstLineChars="200" w:firstLine="640"/>
        <w:rPr>
          <w:rFonts w:eastAsia="仿宋_GB2312"/>
          <w:kern w:val="0"/>
          <w:sz w:val="32"/>
          <w:szCs w:val="32"/>
        </w:rPr>
      </w:pPr>
      <w:r>
        <w:rPr>
          <w:rFonts w:eastAsia="仿宋_GB2312" w:hint="eastAsia"/>
          <w:kern w:val="0"/>
          <w:sz w:val="32"/>
          <w:szCs w:val="32"/>
        </w:rPr>
        <w:t>如对于</w:t>
      </w:r>
      <w:r w:rsidRPr="00E84D81">
        <w:rPr>
          <w:rFonts w:eastAsia="仿宋_GB2312"/>
          <w:kern w:val="0"/>
          <w:sz w:val="32"/>
          <w:szCs w:val="32"/>
        </w:rPr>
        <w:t>注射用重组</w:t>
      </w:r>
      <w:r w:rsidRPr="00E84D81">
        <w:rPr>
          <w:rFonts w:eastAsia="仿宋_GB2312"/>
          <w:kern w:val="0"/>
          <w:sz w:val="32"/>
          <w:szCs w:val="32"/>
        </w:rPr>
        <w:t>Ⅲ</w:t>
      </w:r>
      <w:r w:rsidRPr="00E84D81">
        <w:rPr>
          <w:rFonts w:eastAsia="仿宋_GB2312"/>
          <w:kern w:val="0"/>
          <w:sz w:val="32"/>
          <w:szCs w:val="32"/>
        </w:rPr>
        <w:t>型人源化胶原蛋白溶液，若适用范围为该产品用于面部真皮组织填充以纠正额部动力性皱纹</w:t>
      </w:r>
      <w:r w:rsidRPr="00E84D81">
        <w:rPr>
          <w:rFonts w:eastAsia="仿宋_GB2312"/>
          <w:kern w:val="0"/>
          <w:sz w:val="32"/>
          <w:szCs w:val="32"/>
        </w:rPr>
        <w:lastRenderedPageBreak/>
        <w:t>（包括眉间纹、额头纹和鱼尾纹）或对于聚乳酸面部填充剂产品，若适用范围为用于注射到真皮深层，以纠正中重度鼻唇沟皱纹</w:t>
      </w:r>
      <w:r>
        <w:rPr>
          <w:rFonts w:eastAsia="仿宋_GB2312" w:hint="eastAsia"/>
          <w:kern w:val="0"/>
          <w:sz w:val="32"/>
          <w:szCs w:val="32"/>
        </w:rPr>
        <w:t>；次要评价指标一般还应包括</w:t>
      </w:r>
      <w:r w:rsidR="00057DEB" w:rsidRPr="00057DEB">
        <w:rPr>
          <w:rFonts w:eastAsia="仿宋_GB2312" w:hint="eastAsia"/>
          <w:kern w:val="0"/>
          <w:sz w:val="32"/>
          <w:szCs w:val="32"/>
        </w:rPr>
        <w:t>研究者对除主要有效性评价观察时间点外其他时间点的皱纹严重程度的评价</w:t>
      </w:r>
      <w:r w:rsidR="00057DEB">
        <w:rPr>
          <w:rFonts w:eastAsia="仿宋_GB2312" w:hint="eastAsia"/>
          <w:kern w:val="0"/>
          <w:sz w:val="32"/>
          <w:szCs w:val="32"/>
        </w:rPr>
        <w:t>（</w:t>
      </w:r>
      <w:r w:rsidR="00057DEB">
        <w:rPr>
          <w:rFonts w:eastAsia="仿宋_GB2312" w:hint="eastAsia"/>
          <w:kern w:val="0"/>
          <w:sz w:val="32"/>
          <w:szCs w:val="32"/>
        </w:rPr>
        <w:t>WSRS</w:t>
      </w:r>
      <w:r w:rsidR="00057DEB">
        <w:rPr>
          <w:rFonts w:eastAsia="仿宋_GB2312" w:hint="eastAsia"/>
          <w:kern w:val="0"/>
          <w:sz w:val="32"/>
          <w:szCs w:val="32"/>
        </w:rPr>
        <w:t>）</w:t>
      </w:r>
      <w:r>
        <w:rPr>
          <w:rFonts w:eastAsia="仿宋_GB2312" w:hint="eastAsia"/>
          <w:kern w:val="0"/>
          <w:sz w:val="32"/>
          <w:szCs w:val="32"/>
        </w:rPr>
        <w:t>。</w:t>
      </w:r>
    </w:p>
    <w:p w:rsidR="001E3A97" w:rsidRDefault="001E3A97" w:rsidP="001E3A97">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如对于注射用交联透明质酸钠凝胶，若适用范围为用于矫正中面部容量缺失和</w:t>
      </w:r>
      <w:r w:rsidRPr="00E84D81">
        <w:rPr>
          <w:rFonts w:eastAsia="仿宋_GB2312"/>
          <w:kern w:val="0"/>
          <w:sz w:val="32"/>
          <w:szCs w:val="32"/>
        </w:rPr>
        <w:t>/</w:t>
      </w:r>
      <w:r w:rsidRPr="00E84D81">
        <w:rPr>
          <w:rFonts w:eastAsia="仿宋_GB2312"/>
          <w:kern w:val="0"/>
          <w:sz w:val="32"/>
          <w:szCs w:val="32"/>
        </w:rPr>
        <w:t>或中面部轮廓缺陷，注射层次为皮下</w:t>
      </w:r>
      <w:r>
        <w:rPr>
          <w:rFonts w:eastAsia="仿宋_GB2312" w:hint="eastAsia"/>
          <w:kern w:val="0"/>
          <w:sz w:val="32"/>
          <w:szCs w:val="32"/>
        </w:rPr>
        <w:t>组织</w:t>
      </w:r>
      <w:r w:rsidRPr="00E84D81">
        <w:rPr>
          <w:rFonts w:eastAsia="仿宋_GB2312"/>
          <w:kern w:val="0"/>
          <w:sz w:val="32"/>
          <w:szCs w:val="32"/>
        </w:rPr>
        <w:t>、骨膜上层</w:t>
      </w:r>
      <w:r>
        <w:rPr>
          <w:rFonts w:eastAsia="仿宋_GB2312" w:hint="eastAsia"/>
          <w:kern w:val="0"/>
          <w:sz w:val="32"/>
          <w:szCs w:val="32"/>
        </w:rPr>
        <w:t>；次要评价指标一般还应包括</w:t>
      </w:r>
      <w:r w:rsidRPr="00057DEB">
        <w:rPr>
          <w:rFonts w:eastAsia="仿宋_GB2312" w:hint="eastAsia"/>
          <w:kern w:val="0"/>
          <w:sz w:val="32"/>
          <w:szCs w:val="32"/>
        </w:rPr>
        <w:t>研究者对</w:t>
      </w:r>
      <w:r w:rsidR="00057DEB" w:rsidRPr="00E84D81">
        <w:rPr>
          <w:rFonts w:eastAsia="仿宋_GB2312"/>
          <w:kern w:val="0"/>
          <w:sz w:val="32"/>
          <w:szCs w:val="32"/>
        </w:rPr>
        <w:t>轮廓填充效果评价</w:t>
      </w:r>
      <w:r w:rsidR="00057DEB">
        <w:rPr>
          <w:rFonts w:eastAsia="仿宋_GB2312" w:hint="eastAsia"/>
          <w:kern w:val="0"/>
          <w:sz w:val="32"/>
          <w:szCs w:val="32"/>
        </w:rPr>
        <w:t>。</w:t>
      </w:r>
    </w:p>
    <w:p w:rsidR="004E2B83" w:rsidRPr="00E84D81" w:rsidRDefault="001E3A97" w:rsidP="001E3A97">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如对于注射用交联透明质酸钠凝胶，若适用范围为用于鼻背、鼻小柱和前鼻棘部位骨膜上层（硬骨膜上和</w:t>
      </w:r>
      <w:r w:rsidRPr="00E84D81">
        <w:rPr>
          <w:rFonts w:eastAsia="仿宋_GB2312"/>
          <w:kern w:val="0"/>
          <w:sz w:val="32"/>
          <w:szCs w:val="32"/>
        </w:rPr>
        <w:t>/</w:t>
      </w:r>
      <w:r w:rsidRPr="00E84D81">
        <w:rPr>
          <w:rFonts w:eastAsia="仿宋_GB2312"/>
          <w:kern w:val="0"/>
          <w:sz w:val="32"/>
          <w:szCs w:val="32"/>
        </w:rPr>
        <w:t>或软骨膜上）注射，以改善外鼻体积及形态</w:t>
      </w:r>
      <w:r>
        <w:rPr>
          <w:rFonts w:eastAsia="仿宋_GB2312" w:hint="eastAsia"/>
          <w:kern w:val="0"/>
          <w:sz w:val="32"/>
          <w:szCs w:val="32"/>
        </w:rPr>
        <w:t>；次要评价指标</w:t>
      </w:r>
      <w:r w:rsidR="00D4144A" w:rsidRPr="00E84D81">
        <w:rPr>
          <w:rFonts w:eastAsia="仿宋_GB2312"/>
          <w:kern w:val="0"/>
          <w:sz w:val="32"/>
          <w:szCs w:val="32"/>
        </w:rPr>
        <w:t>对采用测量设备评价外鼻</w:t>
      </w:r>
      <w:r w:rsidR="00D4144A" w:rsidRPr="00E84D81">
        <w:rPr>
          <w:rFonts w:eastAsia="仿宋_GB2312"/>
          <w:sz w:val="32"/>
          <w:szCs w:val="32"/>
        </w:rPr>
        <w:t>正中矢状面增高情况也进行评价。</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临床试验的次要评价指标注射后观察时间需根据产品维持有效性的时间和产品预期降解所需的时间确定。观察时间点的设定应至少包括注射前、注射后即刻、观察随疗效变化情况的各时间点。</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如，用于鼻唇沟未经交联的透明质酸钠产品临床试验注射后的持续观察时间建议不短于</w:t>
      </w:r>
      <w:r w:rsidRPr="00E84D81">
        <w:rPr>
          <w:rFonts w:eastAsia="仿宋_GB2312"/>
          <w:kern w:val="0"/>
          <w:sz w:val="32"/>
          <w:szCs w:val="32"/>
        </w:rPr>
        <w:t>6</w:t>
      </w:r>
      <w:r w:rsidRPr="00E84D81">
        <w:rPr>
          <w:rFonts w:eastAsia="仿宋_GB2312"/>
          <w:kern w:val="0"/>
          <w:sz w:val="32"/>
          <w:szCs w:val="32"/>
        </w:rPr>
        <w:t>个月。用于鼻唇沟经交联的透明质酸钠凝胶产品临床试验注射后的持续观察时间建议不短于</w:t>
      </w:r>
      <w:r w:rsidRPr="00E84D81">
        <w:rPr>
          <w:rFonts w:eastAsia="仿宋_GB2312"/>
          <w:kern w:val="0"/>
          <w:sz w:val="32"/>
          <w:szCs w:val="32"/>
        </w:rPr>
        <w:t>1</w:t>
      </w:r>
      <w:r w:rsidRPr="00E84D81">
        <w:rPr>
          <w:rFonts w:eastAsia="仿宋_GB2312"/>
          <w:kern w:val="0"/>
          <w:sz w:val="32"/>
          <w:szCs w:val="32"/>
        </w:rPr>
        <w:t>年。对于其他材料的面部注射填充材料，若经动物试验验证，如降解时间较短，建议有效性评价时间</w:t>
      </w:r>
      <w:r w:rsidR="005022AC">
        <w:rPr>
          <w:rFonts w:eastAsia="仿宋_GB2312" w:hint="eastAsia"/>
          <w:kern w:val="0"/>
          <w:sz w:val="32"/>
          <w:szCs w:val="32"/>
        </w:rPr>
        <w:t>至少</w:t>
      </w:r>
      <w:r w:rsidRPr="00E84D81">
        <w:rPr>
          <w:rFonts w:eastAsia="仿宋_GB2312"/>
          <w:kern w:val="0"/>
          <w:sz w:val="32"/>
          <w:szCs w:val="32"/>
        </w:rPr>
        <w:t>观察至产品完全降解；如降解时间较长，建议结合产品的降解时间适当延长产品的有效性评价时间，一般应观察至降解稳态（如</w:t>
      </w:r>
      <w:r w:rsidRPr="00E84D81">
        <w:rPr>
          <w:rFonts w:eastAsia="仿宋_GB2312"/>
          <w:kern w:val="0"/>
          <w:sz w:val="32"/>
          <w:szCs w:val="32"/>
        </w:rPr>
        <w:t>1</w:t>
      </w:r>
      <w:r w:rsidRPr="00E84D81">
        <w:rPr>
          <w:rFonts w:eastAsia="仿宋_GB2312"/>
          <w:kern w:val="0"/>
          <w:sz w:val="32"/>
          <w:szCs w:val="32"/>
        </w:rPr>
        <w:t>年），并在后续的临床使用过程中系统观察产品的中远期的效果。</w:t>
      </w:r>
      <w:r w:rsidRPr="00E84D81">
        <w:rPr>
          <w:rFonts w:eastAsia="仿宋_GB2312"/>
          <w:kern w:val="0"/>
          <w:sz w:val="32"/>
          <w:szCs w:val="32"/>
        </w:rPr>
        <w:t xml:space="preserve"> </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lastRenderedPageBreak/>
        <w:t>对于含利多卡因的透明质酸钠凝胶，考虑到产品含利多卡因的浓度、给药方式和剂量与现有临床应用情形不同。建议在次要评价指标中关注</w:t>
      </w:r>
      <w:r w:rsidRPr="00E84D81">
        <w:rPr>
          <w:rFonts w:eastAsia="仿宋_GB2312"/>
          <w:kern w:val="0"/>
          <w:sz w:val="32"/>
          <w:szCs w:val="32"/>
        </w:rPr>
        <w:t>14</w:t>
      </w:r>
      <w:r w:rsidRPr="00E84D81">
        <w:rPr>
          <w:rFonts w:eastAsia="仿宋_GB2312"/>
          <w:kern w:val="0"/>
          <w:sz w:val="32"/>
          <w:szCs w:val="32"/>
        </w:rPr>
        <w:t>天内的疼痛改善情况（</w:t>
      </w:r>
      <w:r w:rsidR="00686B86">
        <w:rPr>
          <w:rFonts w:eastAsia="仿宋_GB2312" w:hint="eastAsia"/>
          <w:kern w:val="0"/>
          <w:sz w:val="32"/>
          <w:szCs w:val="32"/>
        </w:rPr>
        <w:t>如，</w:t>
      </w:r>
      <w:r w:rsidRPr="00E84D81">
        <w:rPr>
          <w:rFonts w:eastAsia="仿宋_GB2312"/>
          <w:kern w:val="0"/>
          <w:sz w:val="32"/>
          <w:szCs w:val="32"/>
        </w:rPr>
        <w:t>可采用</w:t>
      </w:r>
      <w:r w:rsidRPr="00E84D81">
        <w:rPr>
          <w:rFonts w:eastAsia="仿宋_GB2312"/>
          <w:kern w:val="0"/>
          <w:sz w:val="32"/>
          <w:szCs w:val="32"/>
        </w:rPr>
        <w:t>VAS</w:t>
      </w:r>
      <w:r w:rsidRPr="00E84D81">
        <w:rPr>
          <w:rFonts w:eastAsia="仿宋_GB2312"/>
          <w:kern w:val="0"/>
          <w:sz w:val="32"/>
          <w:szCs w:val="32"/>
        </w:rPr>
        <w:t>评分标准）</w:t>
      </w:r>
      <w:r w:rsidR="005A0117" w:rsidRPr="00E84D81">
        <w:rPr>
          <w:rFonts w:eastAsia="仿宋_GB2312"/>
          <w:kern w:val="0"/>
          <w:sz w:val="32"/>
          <w:szCs w:val="32"/>
        </w:rPr>
        <w:t>，并与对照组进行对比</w:t>
      </w:r>
      <w:r w:rsidRPr="00E84D81">
        <w:rPr>
          <w:rFonts w:eastAsia="仿宋_GB2312"/>
          <w:kern w:val="0"/>
          <w:sz w:val="32"/>
          <w:szCs w:val="32"/>
        </w:rPr>
        <w:t>。</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3.</w:t>
      </w:r>
      <w:r w:rsidRPr="00E84D81">
        <w:rPr>
          <w:rFonts w:eastAsia="仿宋_GB2312"/>
          <w:kern w:val="0"/>
          <w:sz w:val="32"/>
          <w:szCs w:val="32"/>
        </w:rPr>
        <w:t>安全性评价指标</w:t>
      </w:r>
    </w:p>
    <w:p w:rsidR="004E2B83" w:rsidRPr="00E15F29"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安全性评价指标应包括，基本生命体征、注射前和注射后各有效性评价时间点的实验室检查（如血、尿常规检查、肝功能检查、肾功能检查）等</w:t>
      </w:r>
      <w:r w:rsidR="00E15F29">
        <w:rPr>
          <w:rFonts w:eastAsia="仿宋_GB2312" w:hint="eastAsia"/>
          <w:kern w:val="0"/>
          <w:sz w:val="32"/>
          <w:szCs w:val="32"/>
        </w:rPr>
        <w:t>，</w:t>
      </w:r>
      <w:r w:rsidR="00E15F29" w:rsidRPr="00E84D81">
        <w:rPr>
          <w:rFonts w:eastAsia="仿宋_GB2312"/>
          <w:sz w:val="32"/>
          <w:szCs w:val="32"/>
        </w:rPr>
        <w:t>对中远期注射部位周围组织的影响、</w:t>
      </w:r>
      <w:r w:rsidR="00E15F29" w:rsidRPr="00E84D81">
        <w:rPr>
          <w:rFonts w:eastAsia="仿宋_GB2312"/>
          <w:kern w:val="0"/>
          <w:sz w:val="32"/>
          <w:szCs w:val="32"/>
        </w:rPr>
        <w:t>填充材料移位堆积情况。</w:t>
      </w:r>
      <w:r w:rsidR="00E15F29" w:rsidRPr="00E84D81">
        <w:rPr>
          <w:rFonts w:eastAsia="仿宋_GB2312"/>
          <w:sz w:val="32"/>
          <w:szCs w:val="32"/>
        </w:rPr>
        <w:t>对于降解时间较长或不可降解等材料，还需关注填充材料游离风险（包括位移风险和材料碎片游离导致的</w:t>
      </w:r>
      <w:r w:rsidR="00E15F29" w:rsidRPr="00E84D81">
        <w:rPr>
          <w:rFonts w:eastAsia="仿宋_GB2312"/>
          <w:kern w:val="0"/>
          <w:sz w:val="32"/>
          <w:szCs w:val="32"/>
        </w:rPr>
        <w:t>栓塞风险</w:t>
      </w:r>
      <w:r w:rsidR="00E15F29" w:rsidRPr="00E84D81">
        <w:rPr>
          <w:rFonts w:eastAsia="仿宋_GB2312"/>
          <w:sz w:val="32"/>
          <w:szCs w:val="32"/>
        </w:rPr>
        <w:t>）。</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注射填充过程存在非主观性注射到血管内的风险，虽然发生率很低，但其造成的不良事件可能是严重且永久性的，包括视觉异常和失明。因此，建议申请人主动监测受试者是否发生视觉障碍（包括但不限于视力丧失、视力模糊、双重视觉、眼部或周围区域疼痛、视野中的盲点或阴影、眼球运动困难等）。对于已出现视觉障碍的受试者需进一步观察对神经系统的影响（如中枢神经系统并发症）。</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除此之外，安全性评价指标还需要包括对不良事件的观察，可能包括：</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1</w:t>
      </w:r>
      <w:r w:rsidRPr="00E84D81">
        <w:rPr>
          <w:rFonts w:eastAsia="仿宋_GB2312"/>
          <w:kern w:val="0"/>
          <w:sz w:val="32"/>
          <w:szCs w:val="32"/>
        </w:rPr>
        <w:t>）注射反应：如进针处渗血、轻度肿胀、瘀斑和疼痛等；</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2</w:t>
      </w:r>
      <w:r w:rsidRPr="00E84D81">
        <w:rPr>
          <w:rFonts w:eastAsia="仿宋_GB2312"/>
          <w:kern w:val="0"/>
          <w:sz w:val="32"/>
          <w:szCs w:val="32"/>
        </w:rPr>
        <w:t>）过敏反应（包括速发性和迟发性）：早期表现为红斑、丘疹、荨麻症、血管性水肿、过敏性休克等；远期表现为迟发性红斑和炎性肉芽肿；</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3</w:t>
      </w:r>
      <w:r w:rsidRPr="00E84D81">
        <w:rPr>
          <w:rFonts w:eastAsia="仿宋_GB2312"/>
          <w:kern w:val="0"/>
          <w:sz w:val="32"/>
          <w:szCs w:val="32"/>
        </w:rPr>
        <w:t>）感染：包括内源性病原体被激活或外界病原体侵</w:t>
      </w:r>
      <w:r w:rsidRPr="00E84D81">
        <w:rPr>
          <w:rFonts w:eastAsia="仿宋_GB2312"/>
          <w:kern w:val="0"/>
          <w:sz w:val="32"/>
          <w:szCs w:val="32"/>
        </w:rPr>
        <w:lastRenderedPageBreak/>
        <w:t>入，以及生物膜形成以及血管栓塞导致皮肤供血障碍继发的感染等；表现为局部红、肿、热、痛，皮温升高，肿胀，甚至脓肿形成，少数患者可出现全身性反应；</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4</w:t>
      </w:r>
      <w:r w:rsidRPr="00E84D81">
        <w:rPr>
          <w:rFonts w:eastAsia="仿宋_GB2312"/>
          <w:kern w:val="0"/>
          <w:sz w:val="32"/>
          <w:szCs w:val="32"/>
        </w:rPr>
        <w:t>）丁达尔现象：在皮肤较薄部位注射较多的透明质酸或注射层次偏浅，引起局部皮肤在光线照时下呈现蓝色；</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5</w:t>
      </w:r>
      <w:r w:rsidRPr="00E84D81">
        <w:rPr>
          <w:rFonts w:eastAsia="仿宋_GB2312"/>
          <w:kern w:val="0"/>
          <w:sz w:val="32"/>
          <w:szCs w:val="32"/>
        </w:rPr>
        <w:t>）结节和条索状隆起（注射总量过多或者注射层次过浅所致）；</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6</w:t>
      </w:r>
      <w:r w:rsidRPr="00E84D81">
        <w:rPr>
          <w:rFonts w:eastAsia="仿宋_GB2312"/>
          <w:kern w:val="0"/>
          <w:sz w:val="32"/>
          <w:szCs w:val="32"/>
        </w:rPr>
        <w:t>）肉芽肿反应：表现为注射部位出现皮肤红斑、肿胀、变色和皮下结节；</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7</w:t>
      </w:r>
      <w:r w:rsidRPr="00E84D81">
        <w:rPr>
          <w:rFonts w:eastAsia="仿宋_GB2312"/>
          <w:kern w:val="0"/>
          <w:sz w:val="32"/>
          <w:szCs w:val="32"/>
        </w:rPr>
        <w:t>）血管栓塞：常见栓塞部位为面部浅层血管，也可发生眼动脉及其分支，甚至颅内动脉的栓塞，可导致组织坏死、失明甚至危及生命；</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w:t>
      </w:r>
      <w:r w:rsidRPr="00E84D81">
        <w:rPr>
          <w:rFonts w:eastAsia="仿宋_GB2312"/>
          <w:kern w:val="0"/>
          <w:sz w:val="32"/>
          <w:szCs w:val="32"/>
        </w:rPr>
        <w:t>8</w:t>
      </w:r>
      <w:r w:rsidRPr="00E84D81">
        <w:rPr>
          <w:rFonts w:eastAsia="仿宋_GB2312"/>
          <w:kern w:val="0"/>
          <w:sz w:val="32"/>
          <w:szCs w:val="32"/>
        </w:rPr>
        <w:t>）其他：如注射过浅过快阻碍真皮血管网血流可导致皮肤发白，注射过深造成填充不足，注射后毛细血管扩张、局部刺激引起的红、肿及感觉异常等迟发性炎症反应。</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临床试验安全性评价指标的观察时间应结合产品材料学特性和产品预期降解时间进行设计。观察时间点应至少包括短期安全性评价时间点（</w:t>
      </w:r>
      <w:r w:rsidR="00D01811">
        <w:rPr>
          <w:rFonts w:eastAsia="仿宋_GB2312" w:hint="eastAsia"/>
          <w:kern w:val="0"/>
          <w:sz w:val="32"/>
          <w:szCs w:val="32"/>
        </w:rPr>
        <w:t>如</w:t>
      </w:r>
      <w:r w:rsidRPr="00E84D81">
        <w:rPr>
          <w:rFonts w:eastAsia="仿宋_GB2312"/>
          <w:kern w:val="0"/>
          <w:sz w:val="32"/>
          <w:szCs w:val="32"/>
        </w:rPr>
        <w:t>注射后</w:t>
      </w:r>
      <w:r w:rsidRPr="00E84D81">
        <w:rPr>
          <w:rFonts w:eastAsia="仿宋_GB2312"/>
          <w:kern w:val="0"/>
          <w:sz w:val="32"/>
          <w:szCs w:val="32"/>
        </w:rPr>
        <w:t>1</w:t>
      </w:r>
      <w:r w:rsidRPr="00E84D81">
        <w:rPr>
          <w:rFonts w:eastAsia="仿宋_GB2312"/>
          <w:kern w:val="0"/>
          <w:sz w:val="32"/>
          <w:szCs w:val="32"/>
        </w:rPr>
        <w:t>周或</w:t>
      </w:r>
      <w:r w:rsidRPr="00E84D81">
        <w:rPr>
          <w:rFonts w:eastAsia="仿宋_GB2312"/>
          <w:kern w:val="0"/>
          <w:sz w:val="32"/>
          <w:szCs w:val="32"/>
        </w:rPr>
        <w:t>2</w:t>
      </w:r>
      <w:r w:rsidRPr="00E84D81">
        <w:rPr>
          <w:rFonts w:eastAsia="仿宋_GB2312"/>
          <w:kern w:val="0"/>
          <w:sz w:val="32"/>
          <w:szCs w:val="32"/>
        </w:rPr>
        <w:t>周）、治疗过程中安全性评价时间点及中远期安全性评价时间点。</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建议收集受试者在注射后</w:t>
      </w:r>
      <w:r w:rsidRPr="00E84D81">
        <w:rPr>
          <w:rFonts w:eastAsia="仿宋_GB2312"/>
          <w:kern w:val="0"/>
          <w:sz w:val="32"/>
          <w:szCs w:val="32"/>
        </w:rPr>
        <w:t>14</w:t>
      </w:r>
      <w:r w:rsidRPr="00E84D81">
        <w:rPr>
          <w:rFonts w:eastAsia="仿宋_GB2312"/>
          <w:kern w:val="0"/>
          <w:sz w:val="32"/>
          <w:szCs w:val="32"/>
        </w:rPr>
        <w:t>天内的局部反应日志。若存在补充注射的情况（按照产品说明书中的使用方法），应从补充注射之日起开始计算观察时间点。建议对于降解时间较长或不降解的产品，安全性评价终点应设计为产品达到降解稳态（如</w:t>
      </w:r>
      <w:r w:rsidRPr="00E84D81">
        <w:rPr>
          <w:rFonts w:eastAsia="仿宋_GB2312"/>
          <w:kern w:val="0"/>
          <w:sz w:val="32"/>
          <w:szCs w:val="32"/>
        </w:rPr>
        <w:t>1</w:t>
      </w:r>
      <w:r w:rsidRPr="00E84D81">
        <w:rPr>
          <w:rFonts w:eastAsia="仿宋_GB2312"/>
          <w:kern w:val="0"/>
          <w:sz w:val="32"/>
          <w:szCs w:val="32"/>
        </w:rPr>
        <w:t>年），并在后续的临床使用过程中继续系统观察产品的远期安全性。</w:t>
      </w:r>
    </w:p>
    <w:p w:rsidR="004E2B83" w:rsidRPr="00E84D81" w:rsidRDefault="00D4144A" w:rsidP="00E84D81">
      <w:pPr>
        <w:autoSpaceDE w:val="0"/>
        <w:autoSpaceDN w:val="0"/>
        <w:adjustRightInd w:val="0"/>
        <w:spacing w:line="520" w:lineRule="exact"/>
        <w:ind w:firstLineChars="200" w:firstLine="640"/>
        <w:outlineLvl w:val="1"/>
        <w:rPr>
          <w:rFonts w:eastAsia="楷体_GB2312"/>
          <w:kern w:val="0"/>
          <w:sz w:val="32"/>
          <w:szCs w:val="32"/>
        </w:rPr>
      </w:pPr>
      <w:r w:rsidRPr="00E84D81">
        <w:rPr>
          <w:rFonts w:eastAsia="楷体_GB2312"/>
          <w:kern w:val="0"/>
          <w:sz w:val="32"/>
          <w:szCs w:val="32"/>
        </w:rPr>
        <w:t>（五）试验样本量</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lastRenderedPageBreak/>
        <w:t>样本量的确定需按照试验目的、试验类型（优效、非劣效、等效）、主要有效性评价指标、对照组的情况确定并符合统计学要求。</w:t>
      </w:r>
      <w:r w:rsidR="0021353B" w:rsidRPr="00E84D81">
        <w:rPr>
          <w:rFonts w:eastAsia="仿宋_GB2312"/>
          <w:kern w:val="0"/>
          <w:sz w:val="32"/>
          <w:szCs w:val="32"/>
        </w:rPr>
        <w:t>临床方案中需明确样本量统计计算公式涉及参数的确定依据及具体计算过程。计算样本量时的参数选择建议参考《医疗器械临床试验设计指导原则》。</w:t>
      </w:r>
      <w:r w:rsidRPr="00E84D81">
        <w:rPr>
          <w:rFonts w:eastAsia="仿宋_GB2312"/>
          <w:kern w:val="0"/>
          <w:sz w:val="32"/>
          <w:szCs w:val="32"/>
        </w:rPr>
        <w:t>此外，还需考虑受试者在临床试验过程中的脱落</w:t>
      </w:r>
      <w:r w:rsidRPr="00E84D81">
        <w:rPr>
          <w:rFonts w:eastAsia="仿宋_GB2312"/>
          <w:kern w:val="0"/>
          <w:sz w:val="32"/>
          <w:szCs w:val="32"/>
        </w:rPr>
        <w:t>/</w:t>
      </w:r>
      <w:r w:rsidRPr="00E84D81">
        <w:rPr>
          <w:rFonts w:eastAsia="仿宋_GB2312"/>
          <w:kern w:val="0"/>
          <w:sz w:val="32"/>
          <w:szCs w:val="32"/>
        </w:rPr>
        <w:t>失访，按照预估的脱落</w:t>
      </w:r>
      <w:r w:rsidRPr="00E84D81">
        <w:rPr>
          <w:rFonts w:eastAsia="仿宋_GB2312"/>
          <w:kern w:val="0"/>
          <w:sz w:val="32"/>
          <w:szCs w:val="32"/>
        </w:rPr>
        <w:t>/</w:t>
      </w:r>
      <w:r w:rsidRPr="00E84D81">
        <w:rPr>
          <w:rFonts w:eastAsia="仿宋_GB2312"/>
          <w:kern w:val="0"/>
          <w:sz w:val="32"/>
          <w:szCs w:val="32"/>
        </w:rPr>
        <w:t>失访率进一步扩大初始样本量。</w:t>
      </w:r>
    </w:p>
    <w:p w:rsidR="0021353B" w:rsidRPr="00E84D81" w:rsidRDefault="0021353B"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本指导原则仅对样本量计算过程进行举例说明，临床试验开始前，注册申请人需全面收集具有一定质量水平及相当数量病例的临床数据，经科学分析，确定临床试验样本量。注册申请人需提交样本量的确定依据和支持性资料。</w:t>
      </w:r>
    </w:p>
    <w:p w:rsidR="0021353B"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在确定样本量时，还需考虑要有充足的临床证据支持产品说明书中所描述的多数患者注射该产品后可维持有效的时间，并且考虑不同适应证对样本量计算的影响。完成所有访视的受试者不应少于临床试验方案中规定的最低样本量。建议试验组和对照组样本量按</w:t>
      </w:r>
      <w:r w:rsidRPr="00E84D81">
        <w:rPr>
          <w:rFonts w:eastAsia="仿宋_GB2312"/>
          <w:kern w:val="0"/>
          <w:sz w:val="32"/>
          <w:szCs w:val="32"/>
        </w:rPr>
        <w:t>1</w:t>
      </w:r>
      <w:r w:rsidRPr="00E84D81">
        <w:rPr>
          <w:rFonts w:eastAsia="仿宋_GB2312"/>
          <w:kern w:val="0"/>
          <w:sz w:val="32"/>
          <w:szCs w:val="32"/>
        </w:rPr>
        <w:t>：</w:t>
      </w:r>
      <w:r w:rsidRPr="00E84D81">
        <w:rPr>
          <w:rFonts w:eastAsia="仿宋_GB2312"/>
          <w:kern w:val="0"/>
          <w:sz w:val="32"/>
          <w:szCs w:val="32"/>
        </w:rPr>
        <w:t>1</w:t>
      </w:r>
      <w:r w:rsidRPr="00E84D81">
        <w:rPr>
          <w:rFonts w:eastAsia="仿宋_GB2312"/>
          <w:kern w:val="0"/>
          <w:sz w:val="32"/>
          <w:szCs w:val="32"/>
        </w:rPr>
        <w:t>设计，如选择其他比例，需提供试验设计依据，并保证样本量具有统计学意义。</w:t>
      </w:r>
    </w:p>
    <w:p w:rsidR="004E2B83" w:rsidRPr="00E84D81" w:rsidRDefault="0021353B"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例</w:t>
      </w:r>
      <w:r w:rsidR="00D4144A" w:rsidRPr="00E84D81">
        <w:rPr>
          <w:rFonts w:eastAsia="仿宋_GB2312"/>
          <w:kern w:val="0"/>
          <w:sz w:val="32"/>
          <w:szCs w:val="32"/>
        </w:rPr>
        <w:t>如</w:t>
      </w:r>
      <w:r w:rsidRPr="00E84D81">
        <w:rPr>
          <w:rFonts w:eastAsia="仿宋_GB2312"/>
          <w:kern w:val="0"/>
          <w:sz w:val="32"/>
          <w:szCs w:val="32"/>
        </w:rPr>
        <w:t>，</w:t>
      </w:r>
      <w:r w:rsidR="00D4144A" w:rsidRPr="00E84D81">
        <w:rPr>
          <w:rFonts w:eastAsia="仿宋_GB2312"/>
          <w:kern w:val="0"/>
          <w:sz w:val="32"/>
          <w:szCs w:val="32"/>
        </w:rPr>
        <w:t>对于注射用重组</w:t>
      </w:r>
      <w:r w:rsidR="00D4144A" w:rsidRPr="00E84D81">
        <w:rPr>
          <w:rFonts w:eastAsia="仿宋_GB2312"/>
          <w:kern w:val="0"/>
          <w:sz w:val="32"/>
          <w:szCs w:val="32"/>
        </w:rPr>
        <w:t>Ⅲ</w:t>
      </w:r>
      <w:r w:rsidR="00D4144A" w:rsidRPr="00E84D81">
        <w:rPr>
          <w:rFonts w:eastAsia="仿宋_GB2312"/>
          <w:kern w:val="0"/>
          <w:sz w:val="32"/>
          <w:szCs w:val="32"/>
        </w:rPr>
        <w:t>型人源化胶原蛋白溶液，若适用范围为该产品用于面部真皮组织填充以纠正额部动力性皱纹（</w:t>
      </w:r>
      <w:r w:rsidR="005A0117" w:rsidRPr="00E84D81">
        <w:rPr>
          <w:rFonts w:eastAsia="仿宋_GB2312"/>
          <w:kern w:val="0"/>
          <w:sz w:val="32"/>
          <w:szCs w:val="32"/>
        </w:rPr>
        <w:t>包括</w:t>
      </w:r>
      <w:r w:rsidR="00D4144A" w:rsidRPr="00E84D81">
        <w:rPr>
          <w:rFonts w:eastAsia="仿宋_GB2312"/>
          <w:kern w:val="0"/>
          <w:sz w:val="32"/>
          <w:szCs w:val="32"/>
        </w:rPr>
        <w:t>眉间纹、额头纹和鱼尾纹）。临床试验设计为随机对照的非劣效设计，如对照组为注射用胶原蛋白溶液</w:t>
      </w:r>
      <w:r w:rsidR="00802A73" w:rsidRPr="00E84D81">
        <w:rPr>
          <w:rFonts w:eastAsia="仿宋_GB2312"/>
          <w:kern w:val="0"/>
          <w:sz w:val="32"/>
          <w:szCs w:val="32"/>
        </w:rPr>
        <w:t>。</w:t>
      </w:r>
      <w:r w:rsidR="00D4144A" w:rsidRPr="00E84D81">
        <w:rPr>
          <w:rFonts w:eastAsia="仿宋_GB2312"/>
          <w:kern w:val="0"/>
          <w:sz w:val="32"/>
          <w:szCs w:val="32"/>
        </w:rPr>
        <w:t>主要评价指标为注射后第三次植入后</w:t>
      </w:r>
      <w:r w:rsidR="00D4144A" w:rsidRPr="00E84D81">
        <w:rPr>
          <w:rFonts w:eastAsia="仿宋_GB2312"/>
          <w:kern w:val="0"/>
          <w:sz w:val="32"/>
          <w:szCs w:val="32"/>
        </w:rPr>
        <w:t>90</w:t>
      </w:r>
      <w:r w:rsidR="00D4144A" w:rsidRPr="00E84D81">
        <w:rPr>
          <w:rFonts w:eastAsia="仿宋_GB2312"/>
          <w:kern w:val="0"/>
          <w:sz w:val="32"/>
          <w:szCs w:val="32"/>
        </w:rPr>
        <w:t>天受试者皱纹纠正的有效率。根据以往的研究报道对照组三次注射完成后第</w:t>
      </w:r>
      <w:r w:rsidR="00D4144A" w:rsidRPr="00E84D81">
        <w:rPr>
          <w:rFonts w:eastAsia="仿宋_GB2312"/>
          <w:kern w:val="0"/>
          <w:sz w:val="32"/>
          <w:szCs w:val="32"/>
        </w:rPr>
        <w:t>9</w:t>
      </w:r>
      <w:r w:rsidR="0014464A">
        <w:rPr>
          <w:rFonts w:eastAsia="仿宋_GB2312" w:hint="eastAsia"/>
          <w:kern w:val="0"/>
          <w:sz w:val="32"/>
          <w:szCs w:val="32"/>
        </w:rPr>
        <w:t>0</w:t>
      </w:r>
      <w:r w:rsidR="00D4144A" w:rsidRPr="00E84D81">
        <w:rPr>
          <w:rFonts w:eastAsia="仿宋_GB2312"/>
          <w:kern w:val="0"/>
          <w:sz w:val="32"/>
          <w:szCs w:val="32"/>
        </w:rPr>
        <w:t>天的有效率可以达到</w:t>
      </w:r>
      <w:r w:rsidR="00D4144A" w:rsidRPr="00E84D81">
        <w:rPr>
          <w:rFonts w:eastAsia="仿宋_GB2312"/>
          <w:kern w:val="0"/>
          <w:sz w:val="32"/>
          <w:szCs w:val="32"/>
        </w:rPr>
        <w:t>9</w:t>
      </w:r>
      <w:r w:rsidR="00B6774C" w:rsidRPr="00E84D81">
        <w:rPr>
          <w:rFonts w:eastAsia="仿宋_GB2312"/>
          <w:kern w:val="0"/>
          <w:sz w:val="32"/>
          <w:szCs w:val="32"/>
        </w:rPr>
        <w:t>5</w:t>
      </w:r>
      <w:r w:rsidR="00D4144A" w:rsidRPr="00E84D81">
        <w:rPr>
          <w:rFonts w:eastAsia="仿宋_GB2312"/>
          <w:kern w:val="0"/>
          <w:sz w:val="32"/>
          <w:szCs w:val="32"/>
        </w:rPr>
        <w:t>%</w:t>
      </w:r>
      <w:r w:rsidR="00D4144A" w:rsidRPr="00E84D81">
        <w:rPr>
          <w:rFonts w:eastAsia="仿宋_GB2312"/>
          <w:kern w:val="0"/>
          <w:sz w:val="32"/>
          <w:szCs w:val="32"/>
        </w:rPr>
        <w:t>，预计试验组有效率也可以达到相同的水平，非劣效界值为</w:t>
      </w:r>
      <w:r w:rsidR="00D4144A" w:rsidRPr="00E84D81">
        <w:rPr>
          <w:rFonts w:eastAsia="仿宋_GB2312"/>
          <w:kern w:val="0"/>
          <w:sz w:val="32"/>
          <w:szCs w:val="32"/>
        </w:rPr>
        <w:t>10%</w:t>
      </w:r>
      <w:r w:rsidR="00D4144A" w:rsidRPr="00E84D81">
        <w:rPr>
          <w:rFonts w:eastAsia="仿宋_GB2312"/>
          <w:kern w:val="0"/>
          <w:sz w:val="32"/>
          <w:szCs w:val="32"/>
        </w:rPr>
        <w:t>，单侧检验水准</w:t>
      </w:r>
      <w:r w:rsidR="003007DF" w:rsidRPr="00E84D81">
        <w:rPr>
          <w:rFonts w:eastAsia="仿宋_GB2312"/>
          <w:i/>
          <w:kern w:val="0"/>
          <w:sz w:val="32"/>
          <w:szCs w:val="32"/>
        </w:rPr>
        <w:t>α</w:t>
      </w:r>
      <w:r w:rsidR="00D4144A" w:rsidRPr="00E84D81">
        <w:rPr>
          <w:rFonts w:eastAsia="仿宋_GB2312"/>
          <w:kern w:val="0"/>
          <w:sz w:val="32"/>
          <w:szCs w:val="32"/>
        </w:rPr>
        <w:t>取</w:t>
      </w:r>
      <w:r w:rsidR="00D4144A" w:rsidRPr="00E84D81">
        <w:rPr>
          <w:rFonts w:eastAsia="仿宋_GB2312"/>
          <w:kern w:val="0"/>
          <w:sz w:val="32"/>
          <w:szCs w:val="32"/>
        </w:rPr>
        <w:t>0.025</w:t>
      </w:r>
      <w:r w:rsidR="00D4144A" w:rsidRPr="00E84D81">
        <w:rPr>
          <w:rFonts w:eastAsia="仿宋_GB2312"/>
          <w:kern w:val="0"/>
          <w:sz w:val="32"/>
          <w:szCs w:val="32"/>
        </w:rPr>
        <w:t>，把握度（</w:t>
      </w:r>
      <w:r w:rsidR="00DF3E72" w:rsidRPr="00E84D81">
        <w:rPr>
          <w:rFonts w:eastAsia="仿宋_GB2312"/>
          <w:kern w:val="0"/>
          <w:sz w:val="32"/>
          <w:szCs w:val="32"/>
        </w:rPr>
        <w:t>1-</w:t>
      </w:r>
      <w:r w:rsidR="003007DF" w:rsidRPr="00E84D81">
        <w:rPr>
          <w:rFonts w:eastAsia="仿宋_GB2312"/>
          <w:i/>
          <w:kern w:val="0"/>
          <w:sz w:val="32"/>
          <w:szCs w:val="32"/>
        </w:rPr>
        <w:t>β</w:t>
      </w:r>
      <w:r w:rsidR="00D4144A" w:rsidRPr="00E84D81">
        <w:rPr>
          <w:rFonts w:eastAsia="仿宋_GB2312"/>
          <w:kern w:val="0"/>
          <w:sz w:val="32"/>
          <w:szCs w:val="32"/>
        </w:rPr>
        <w:t>）</w:t>
      </w:r>
      <w:r w:rsidR="005543A9" w:rsidRPr="00E84D81">
        <w:rPr>
          <w:rFonts w:eastAsia="仿宋_GB2312"/>
          <w:kern w:val="0"/>
          <w:sz w:val="32"/>
          <w:szCs w:val="32"/>
        </w:rPr>
        <w:t>取</w:t>
      </w:r>
      <w:r w:rsidR="00D4144A" w:rsidRPr="00E84D81">
        <w:rPr>
          <w:rFonts w:eastAsia="仿宋_GB2312"/>
          <w:kern w:val="0"/>
          <w:sz w:val="32"/>
          <w:szCs w:val="32"/>
        </w:rPr>
        <w:t>80%</w:t>
      </w:r>
      <w:r w:rsidR="00D4144A" w:rsidRPr="00E84D81">
        <w:rPr>
          <w:rFonts w:eastAsia="仿宋_GB2312"/>
          <w:kern w:val="0"/>
          <w:sz w:val="32"/>
          <w:szCs w:val="32"/>
        </w:rPr>
        <w:t>，</w:t>
      </w:r>
      <w:r w:rsidR="00D65DAD" w:rsidRPr="00E84D81">
        <w:rPr>
          <w:rFonts w:eastAsia="仿宋_GB2312"/>
          <w:kern w:val="0"/>
          <w:sz w:val="32"/>
          <w:szCs w:val="32"/>
        </w:rPr>
        <w:t>试验组与对照组样本量之比为</w:t>
      </w:r>
      <w:r w:rsidR="00D65DAD" w:rsidRPr="00E84D81">
        <w:rPr>
          <w:rFonts w:eastAsia="仿宋_GB2312"/>
          <w:kern w:val="0"/>
          <w:sz w:val="32"/>
          <w:szCs w:val="32"/>
        </w:rPr>
        <w:t>1</w:t>
      </w:r>
      <w:r w:rsidR="00D65DAD" w:rsidRPr="00E84D81">
        <w:rPr>
          <w:rFonts w:eastAsia="仿宋_GB2312"/>
          <w:kern w:val="0"/>
          <w:sz w:val="32"/>
          <w:szCs w:val="32"/>
        </w:rPr>
        <w:t>：</w:t>
      </w:r>
      <w:r w:rsidR="00D65DAD" w:rsidRPr="00E84D81">
        <w:rPr>
          <w:rFonts w:eastAsia="仿宋_GB2312"/>
          <w:kern w:val="0"/>
          <w:sz w:val="32"/>
          <w:szCs w:val="32"/>
        </w:rPr>
        <w:t>1</w:t>
      </w:r>
      <w:r w:rsidR="00D65DAD" w:rsidRPr="00E84D81">
        <w:rPr>
          <w:rFonts w:eastAsia="仿宋_GB2312"/>
          <w:kern w:val="0"/>
          <w:sz w:val="32"/>
          <w:szCs w:val="32"/>
        </w:rPr>
        <w:t>，</w:t>
      </w:r>
      <w:r w:rsidR="00D4144A" w:rsidRPr="00E84D81">
        <w:rPr>
          <w:rFonts w:eastAsia="仿宋_GB2312"/>
          <w:kern w:val="0"/>
          <w:sz w:val="32"/>
          <w:szCs w:val="32"/>
        </w:rPr>
        <w:t>预期</w:t>
      </w:r>
      <w:r w:rsidR="00D4144A" w:rsidRPr="00E84D81">
        <w:rPr>
          <w:rFonts w:eastAsia="仿宋_GB2312"/>
          <w:kern w:val="0"/>
          <w:sz w:val="32"/>
          <w:szCs w:val="32"/>
        </w:rPr>
        <w:lastRenderedPageBreak/>
        <w:t>脱落率为</w:t>
      </w:r>
      <w:r w:rsidR="00D4144A" w:rsidRPr="00E84D81">
        <w:rPr>
          <w:rFonts w:eastAsia="仿宋_GB2312"/>
          <w:kern w:val="0"/>
          <w:sz w:val="32"/>
          <w:szCs w:val="32"/>
        </w:rPr>
        <w:t>20%</w:t>
      </w:r>
      <w:r w:rsidR="00D4144A" w:rsidRPr="00E84D81">
        <w:rPr>
          <w:rFonts w:eastAsia="仿宋_GB2312"/>
          <w:kern w:val="0"/>
          <w:sz w:val="32"/>
          <w:szCs w:val="32"/>
        </w:rPr>
        <w:t>，推算所需样本量为试验组与对照组各</w:t>
      </w:r>
      <w:r w:rsidR="00B6774C" w:rsidRPr="00E84D81">
        <w:rPr>
          <w:rFonts w:eastAsia="仿宋_GB2312"/>
          <w:kern w:val="0"/>
          <w:sz w:val="32"/>
          <w:szCs w:val="32"/>
        </w:rPr>
        <w:t>94</w:t>
      </w:r>
      <w:r w:rsidR="00D4144A" w:rsidRPr="00E84D81">
        <w:rPr>
          <w:rFonts w:eastAsia="仿宋_GB2312"/>
          <w:kern w:val="0"/>
          <w:sz w:val="32"/>
          <w:szCs w:val="32"/>
        </w:rPr>
        <w:t>例</w:t>
      </w:r>
      <w:r w:rsidR="00E15056">
        <w:rPr>
          <w:rFonts w:eastAsia="仿宋_GB2312" w:hint="eastAsia"/>
          <w:kern w:val="0"/>
          <w:sz w:val="32"/>
          <w:szCs w:val="32"/>
        </w:rPr>
        <w:t>，并确保每种皱纹的样本量均具有统计学意义。</w:t>
      </w:r>
    </w:p>
    <w:p w:rsidR="004E2B83" w:rsidRPr="00E84D81" w:rsidRDefault="0021353B"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例如，</w:t>
      </w:r>
      <w:r w:rsidR="00D4144A" w:rsidRPr="00E84D81">
        <w:rPr>
          <w:rFonts w:eastAsia="仿宋_GB2312"/>
          <w:kern w:val="0"/>
          <w:sz w:val="32"/>
          <w:szCs w:val="32"/>
        </w:rPr>
        <w:t>对于聚乳酸面部填充剂产品，若适用范围为用于注射到真皮深层，以纠正中重度鼻唇沟皱纹。临床试验设计为随机、平行对照的优效性设计</w:t>
      </w:r>
      <w:r w:rsidR="002E09EA" w:rsidRPr="00E84D81">
        <w:rPr>
          <w:rFonts w:eastAsia="仿宋_GB2312"/>
          <w:kern w:val="0"/>
          <w:sz w:val="32"/>
          <w:szCs w:val="32"/>
        </w:rPr>
        <w:t>，</w:t>
      </w:r>
      <w:r w:rsidR="00D4144A" w:rsidRPr="00E84D81">
        <w:rPr>
          <w:rFonts w:eastAsia="仿宋_GB2312"/>
          <w:kern w:val="0"/>
          <w:sz w:val="32"/>
          <w:szCs w:val="32"/>
        </w:rPr>
        <w:t>对照产品如为注射用</w:t>
      </w:r>
      <w:r w:rsidR="005A0117" w:rsidRPr="00E84D81">
        <w:rPr>
          <w:rFonts w:eastAsia="仿宋_GB2312"/>
          <w:kern w:val="0"/>
          <w:sz w:val="32"/>
          <w:szCs w:val="32"/>
        </w:rPr>
        <w:t>交联</w:t>
      </w:r>
      <w:r w:rsidR="00D4144A" w:rsidRPr="00E84D81">
        <w:rPr>
          <w:rFonts w:eastAsia="仿宋_GB2312"/>
          <w:kern w:val="0"/>
          <w:sz w:val="32"/>
          <w:szCs w:val="32"/>
        </w:rPr>
        <w:t>透明质酸钠凝胶。主要评价指标为注射后</w:t>
      </w:r>
      <w:r w:rsidR="00D4144A" w:rsidRPr="00E84D81">
        <w:rPr>
          <w:rFonts w:eastAsia="仿宋_GB2312"/>
          <w:kern w:val="0"/>
          <w:sz w:val="32"/>
          <w:szCs w:val="32"/>
        </w:rPr>
        <w:t>48</w:t>
      </w:r>
      <w:r w:rsidR="00D4144A" w:rsidRPr="00E84D81">
        <w:rPr>
          <w:rFonts w:eastAsia="仿宋_GB2312"/>
          <w:kern w:val="0"/>
          <w:sz w:val="32"/>
          <w:szCs w:val="32"/>
        </w:rPr>
        <w:t>周时的鼻唇沟皱纹纠正的有效率。</w:t>
      </w:r>
      <w:r w:rsidR="00E1742A" w:rsidRPr="00E84D81">
        <w:rPr>
          <w:rFonts w:eastAsia="仿宋_GB2312"/>
          <w:kern w:val="0"/>
          <w:sz w:val="32"/>
          <w:szCs w:val="32"/>
        </w:rPr>
        <w:t>根据以往的研究报道对照组注射后</w:t>
      </w:r>
      <w:r w:rsidR="00E1742A" w:rsidRPr="00E84D81">
        <w:rPr>
          <w:rFonts w:eastAsia="仿宋_GB2312"/>
          <w:kern w:val="0"/>
          <w:sz w:val="32"/>
          <w:szCs w:val="32"/>
        </w:rPr>
        <w:t>48</w:t>
      </w:r>
      <w:r w:rsidR="00E1742A" w:rsidRPr="00E84D81">
        <w:rPr>
          <w:rFonts w:eastAsia="仿宋_GB2312"/>
          <w:kern w:val="0"/>
          <w:sz w:val="32"/>
          <w:szCs w:val="32"/>
        </w:rPr>
        <w:t>周时的鼻唇沟皱纹纠正的有效率预计为</w:t>
      </w:r>
      <w:r w:rsidR="00E1742A" w:rsidRPr="00E84D81">
        <w:rPr>
          <w:rFonts w:eastAsia="仿宋_GB2312"/>
          <w:kern w:val="0"/>
          <w:sz w:val="32"/>
          <w:szCs w:val="32"/>
        </w:rPr>
        <w:t>40%</w:t>
      </w:r>
      <w:r w:rsidR="00E1742A" w:rsidRPr="00E84D81">
        <w:rPr>
          <w:rFonts w:eastAsia="仿宋_GB2312"/>
          <w:kern w:val="0"/>
          <w:sz w:val="32"/>
          <w:szCs w:val="32"/>
        </w:rPr>
        <w:t>，预计试验组有效率为</w:t>
      </w:r>
      <w:r w:rsidR="00E1742A" w:rsidRPr="00E84D81">
        <w:rPr>
          <w:rFonts w:eastAsia="仿宋_GB2312"/>
          <w:kern w:val="0"/>
          <w:sz w:val="32"/>
          <w:szCs w:val="32"/>
        </w:rPr>
        <w:t>62%</w:t>
      </w:r>
      <w:r w:rsidR="00E1742A" w:rsidRPr="00E84D81">
        <w:rPr>
          <w:rFonts w:eastAsia="仿宋_GB2312"/>
          <w:kern w:val="0"/>
          <w:sz w:val="32"/>
          <w:szCs w:val="32"/>
        </w:rPr>
        <w:t>，优效性界值为</w:t>
      </w:r>
      <w:r w:rsidR="00E1742A" w:rsidRPr="00E84D81">
        <w:rPr>
          <w:rFonts w:eastAsia="仿宋_GB2312"/>
          <w:kern w:val="0"/>
          <w:sz w:val="32"/>
          <w:szCs w:val="32"/>
        </w:rPr>
        <w:t>0</w:t>
      </w:r>
      <w:r w:rsidR="00E1742A" w:rsidRPr="00E84D81">
        <w:rPr>
          <w:rFonts w:eastAsia="仿宋_GB2312"/>
          <w:kern w:val="0"/>
          <w:sz w:val="32"/>
          <w:szCs w:val="32"/>
        </w:rPr>
        <w:t>，双侧检验水准</w:t>
      </w:r>
      <w:r w:rsidR="003007DF" w:rsidRPr="00E84D81">
        <w:rPr>
          <w:rFonts w:eastAsia="仿宋_GB2312"/>
          <w:i/>
          <w:kern w:val="0"/>
          <w:sz w:val="32"/>
          <w:szCs w:val="32"/>
        </w:rPr>
        <w:t>α</w:t>
      </w:r>
      <w:r w:rsidR="00E1742A" w:rsidRPr="00E84D81">
        <w:rPr>
          <w:rFonts w:eastAsia="仿宋_GB2312"/>
          <w:kern w:val="0"/>
          <w:sz w:val="32"/>
          <w:szCs w:val="32"/>
        </w:rPr>
        <w:t>取</w:t>
      </w:r>
      <w:r w:rsidR="00E1742A" w:rsidRPr="00E84D81">
        <w:rPr>
          <w:rFonts w:eastAsia="仿宋_GB2312"/>
          <w:kern w:val="0"/>
          <w:sz w:val="32"/>
          <w:szCs w:val="32"/>
        </w:rPr>
        <w:t>0.05</w:t>
      </w:r>
      <w:r w:rsidR="00E1742A" w:rsidRPr="00E84D81">
        <w:rPr>
          <w:rFonts w:eastAsia="仿宋_GB2312"/>
          <w:kern w:val="0"/>
          <w:sz w:val="32"/>
          <w:szCs w:val="32"/>
        </w:rPr>
        <w:t>，把握度（</w:t>
      </w:r>
      <w:r w:rsidR="00E1742A" w:rsidRPr="00E84D81">
        <w:rPr>
          <w:rFonts w:eastAsia="仿宋_GB2312"/>
          <w:kern w:val="0"/>
          <w:sz w:val="32"/>
          <w:szCs w:val="32"/>
        </w:rPr>
        <w:t>1-</w:t>
      </w:r>
      <w:r w:rsidR="003007DF" w:rsidRPr="00E84D81">
        <w:rPr>
          <w:rFonts w:eastAsia="仿宋_GB2312"/>
          <w:i/>
          <w:kern w:val="0"/>
          <w:sz w:val="32"/>
          <w:szCs w:val="32"/>
        </w:rPr>
        <w:t>β</w:t>
      </w:r>
      <w:r w:rsidR="00E1742A" w:rsidRPr="00E84D81">
        <w:rPr>
          <w:rFonts w:eastAsia="仿宋_GB2312"/>
          <w:kern w:val="0"/>
          <w:sz w:val="32"/>
          <w:szCs w:val="32"/>
        </w:rPr>
        <w:t>）取</w:t>
      </w:r>
      <w:r w:rsidR="00E1742A" w:rsidRPr="00E84D81">
        <w:rPr>
          <w:rFonts w:eastAsia="仿宋_GB2312"/>
          <w:kern w:val="0"/>
          <w:sz w:val="32"/>
          <w:szCs w:val="32"/>
        </w:rPr>
        <w:t>80%</w:t>
      </w:r>
      <w:r w:rsidR="00E1742A" w:rsidRPr="00E84D81">
        <w:rPr>
          <w:rFonts w:eastAsia="仿宋_GB2312"/>
          <w:kern w:val="0"/>
          <w:sz w:val="32"/>
          <w:szCs w:val="32"/>
        </w:rPr>
        <w:t>，试验组与对照组样本量之比为</w:t>
      </w:r>
      <w:r w:rsidR="00E1742A" w:rsidRPr="00E84D81">
        <w:rPr>
          <w:rFonts w:eastAsia="仿宋_GB2312"/>
          <w:kern w:val="0"/>
          <w:sz w:val="32"/>
          <w:szCs w:val="32"/>
        </w:rPr>
        <w:t>1</w:t>
      </w:r>
      <w:r w:rsidR="00E1742A" w:rsidRPr="00E84D81">
        <w:rPr>
          <w:rFonts w:eastAsia="仿宋_GB2312"/>
          <w:kern w:val="0"/>
          <w:sz w:val="32"/>
          <w:szCs w:val="32"/>
        </w:rPr>
        <w:t>：</w:t>
      </w:r>
      <w:r w:rsidR="00E1742A" w:rsidRPr="00E84D81">
        <w:rPr>
          <w:rFonts w:eastAsia="仿宋_GB2312"/>
          <w:kern w:val="0"/>
          <w:sz w:val="32"/>
          <w:szCs w:val="32"/>
        </w:rPr>
        <w:t>1</w:t>
      </w:r>
      <w:r w:rsidR="00E1742A" w:rsidRPr="00E84D81">
        <w:rPr>
          <w:rFonts w:eastAsia="仿宋_GB2312"/>
          <w:kern w:val="0"/>
          <w:sz w:val="32"/>
          <w:szCs w:val="32"/>
        </w:rPr>
        <w:t>，预期脱落率为</w:t>
      </w:r>
      <w:r w:rsidR="00E1742A" w:rsidRPr="00E84D81">
        <w:rPr>
          <w:rFonts w:eastAsia="仿宋_GB2312"/>
          <w:kern w:val="0"/>
          <w:sz w:val="32"/>
          <w:szCs w:val="32"/>
        </w:rPr>
        <w:t>20%</w:t>
      </w:r>
      <w:r w:rsidR="0014464A">
        <w:rPr>
          <w:rFonts w:eastAsia="仿宋_GB2312"/>
          <w:kern w:val="0"/>
          <w:sz w:val="32"/>
          <w:szCs w:val="32"/>
        </w:rPr>
        <w:t>，推算</w:t>
      </w:r>
      <w:r w:rsidR="00E1742A" w:rsidRPr="00E84D81">
        <w:rPr>
          <w:rFonts w:eastAsia="仿宋_GB2312"/>
          <w:kern w:val="0"/>
          <w:sz w:val="32"/>
          <w:szCs w:val="32"/>
        </w:rPr>
        <w:t>所需样本量为试验组与对照组各</w:t>
      </w:r>
      <w:r w:rsidR="00E1742A" w:rsidRPr="00E84D81">
        <w:rPr>
          <w:rFonts w:eastAsia="仿宋_GB2312"/>
          <w:kern w:val="0"/>
          <w:sz w:val="32"/>
          <w:szCs w:val="32"/>
        </w:rPr>
        <w:t>98</w:t>
      </w:r>
      <w:r w:rsidR="00E1742A" w:rsidRPr="00E84D81">
        <w:rPr>
          <w:rFonts w:eastAsia="仿宋_GB2312"/>
          <w:kern w:val="0"/>
          <w:sz w:val="32"/>
          <w:szCs w:val="32"/>
        </w:rPr>
        <w:t>例。</w:t>
      </w:r>
    </w:p>
    <w:p w:rsidR="004E2B83" w:rsidRPr="00E84D81" w:rsidRDefault="0021353B"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例</w:t>
      </w:r>
      <w:r w:rsidR="00D4144A" w:rsidRPr="00E84D81">
        <w:rPr>
          <w:rFonts w:eastAsia="仿宋_GB2312"/>
          <w:kern w:val="0"/>
          <w:sz w:val="32"/>
          <w:szCs w:val="32"/>
        </w:rPr>
        <w:t>如</w:t>
      </w:r>
      <w:r w:rsidRPr="00E84D81">
        <w:rPr>
          <w:rFonts w:eastAsia="仿宋_GB2312"/>
          <w:kern w:val="0"/>
          <w:sz w:val="32"/>
          <w:szCs w:val="32"/>
        </w:rPr>
        <w:t>，</w:t>
      </w:r>
      <w:r w:rsidR="00D4144A" w:rsidRPr="00E84D81">
        <w:rPr>
          <w:rFonts w:eastAsia="仿宋_GB2312"/>
          <w:kern w:val="0"/>
          <w:sz w:val="32"/>
          <w:szCs w:val="32"/>
        </w:rPr>
        <w:t>对于注射用交联透明质酸钠凝胶，若适用范围为用于鼻背、鼻小柱和前鼻棘部位骨膜上层（硬骨膜上和</w:t>
      </w:r>
      <w:r w:rsidR="00D4144A" w:rsidRPr="00E84D81">
        <w:rPr>
          <w:rFonts w:eastAsia="仿宋_GB2312"/>
          <w:kern w:val="0"/>
          <w:sz w:val="32"/>
          <w:szCs w:val="32"/>
        </w:rPr>
        <w:t>/</w:t>
      </w:r>
      <w:r w:rsidR="00D4144A" w:rsidRPr="00E84D81">
        <w:rPr>
          <w:rFonts w:eastAsia="仿宋_GB2312"/>
          <w:kern w:val="0"/>
          <w:sz w:val="32"/>
          <w:szCs w:val="32"/>
        </w:rPr>
        <w:t>或软</w:t>
      </w:r>
      <w:bookmarkStart w:id="1" w:name="_GoBack"/>
      <w:bookmarkEnd w:id="1"/>
      <w:r w:rsidR="00D4144A" w:rsidRPr="00E84D81">
        <w:rPr>
          <w:rFonts w:eastAsia="仿宋_GB2312"/>
          <w:kern w:val="0"/>
          <w:sz w:val="32"/>
          <w:szCs w:val="32"/>
        </w:rPr>
        <w:t>骨膜上）注射，以改善外鼻体积及形态。临床试验设计为随机</w:t>
      </w:r>
      <w:r w:rsidR="00802A73" w:rsidRPr="00E84D81">
        <w:rPr>
          <w:rFonts w:eastAsia="仿宋_GB2312"/>
          <w:kern w:val="0"/>
          <w:sz w:val="32"/>
          <w:szCs w:val="32"/>
        </w:rPr>
        <w:t>、平行</w:t>
      </w:r>
      <w:r w:rsidR="00D4144A" w:rsidRPr="00E84D81">
        <w:rPr>
          <w:rFonts w:eastAsia="仿宋_GB2312"/>
          <w:kern w:val="0"/>
          <w:sz w:val="32"/>
          <w:szCs w:val="32"/>
        </w:rPr>
        <w:t>对照的优效</w:t>
      </w:r>
      <w:r w:rsidR="004349D6" w:rsidRPr="00E84D81">
        <w:rPr>
          <w:rFonts w:eastAsia="仿宋_GB2312"/>
          <w:kern w:val="0"/>
          <w:sz w:val="32"/>
          <w:szCs w:val="32"/>
        </w:rPr>
        <w:t>性</w:t>
      </w:r>
      <w:r w:rsidR="00D4144A" w:rsidRPr="00E84D81">
        <w:rPr>
          <w:rFonts w:eastAsia="仿宋_GB2312"/>
          <w:kern w:val="0"/>
          <w:sz w:val="32"/>
          <w:szCs w:val="32"/>
        </w:rPr>
        <w:t>设计，若对照组为无治疗对照</w:t>
      </w:r>
      <w:r w:rsidR="00F1525A" w:rsidRPr="00E84D81">
        <w:rPr>
          <w:rFonts w:eastAsia="仿宋_GB2312"/>
          <w:kern w:val="0"/>
          <w:sz w:val="32"/>
          <w:szCs w:val="32"/>
        </w:rPr>
        <w:t>，</w:t>
      </w:r>
      <w:r w:rsidR="00D4144A" w:rsidRPr="00E84D81">
        <w:rPr>
          <w:rFonts w:eastAsia="仿宋_GB2312"/>
          <w:kern w:val="0"/>
          <w:sz w:val="32"/>
          <w:szCs w:val="32"/>
        </w:rPr>
        <w:t>主要</w:t>
      </w:r>
      <w:r w:rsidR="00802A73" w:rsidRPr="00E84D81">
        <w:rPr>
          <w:rFonts w:eastAsia="仿宋_GB2312"/>
          <w:kern w:val="0"/>
          <w:sz w:val="32"/>
          <w:szCs w:val="32"/>
        </w:rPr>
        <w:t>评价</w:t>
      </w:r>
      <w:r w:rsidR="00D4144A" w:rsidRPr="00E84D81">
        <w:rPr>
          <w:rFonts w:eastAsia="仿宋_GB2312"/>
          <w:kern w:val="0"/>
          <w:sz w:val="32"/>
          <w:szCs w:val="32"/>
        </w:rPr>
        <w:t>指标为受试者第</w:t>
      </w:r>
      <w:r w:rsidR="00D4144A" w:rsidRPr="00E84D81">
        <w:rPr>
          <w:rFonts w:eastAsia="仿宋_GB2312"/>
          <w:kern w:val="0"/>
          <w:sz w:val="32"/>
          <w:szCs w:val="32"/>
        </w:rPr>
        <w:t>24</w:t>
      </w:r>
      <w:r w:rsidR="00D4144A" w:rsidRPr="00E84D81">
        <w:rPr>
          <w:rFonts w:eastAsia="仿宋_GB2312"/>
          <w:kern w:val="0"/>
          <w:sz w:val="32"/>
          <w:szCs w:val="32"/>
        </w:rPr>
        <w:t>周的</w:t>
      </w:r>
      <w:r w:rsidR="00D4144A" w:rsidRPr="00E84D81">
        <w:rPr>
          <w:rFonts w:eastAsia="仿宋_GB2312"/>
          <w:kern w:val="0"/>
          <w:sz w:val="32"/>
          <w:szCs w:val="32"/>
        </w:rPr>
        <w:t>3D</w:t>
      </w:r>
      <w:r w:rsidR="00D4144A" w:rsidRPr="00E84D81">
        <w:rPr>
          <w:rFonts w:eastAsia="仿宋_GB2312"/>
          <w:kern w:val="0"/>
          <w:sz w:val="32"/>
          <w:szCs w:val="32"/>
        </w:rPr>
        <w:t>图像分析计算的外鼻区域体积相对于基线的平均变化值。</w:t>
      </w:r>
      <w:r w:rsidR="00DE38FA" w:rsidRPr="00E84D81">
        <w:rPr>
          <w:rFonts w:eastAsia="仿宋_GB2312"/>
          <w:kern w:val="0"/>
          <w:sz w:val="32"/>
          <w:szCs w:val="32"/>
        </w:rPr>
        <w:t>根据以往的研究假设，</w:t>
      </w:r>
      <w:r w:rsidR="00D77656" w:rsidRPr="00E84D81">
        <w:rPr>
          <w:rFonts w:eastAsia="仿宋_GB2312"/>
          <w:kern w:val="0"/>
          <w:sz w:val="32"/>
          <w:szCs w:val="32"/>
        </w:rPr>
        <w:t>若</w:t>
      </w:r>
      <w:r w:rsidR="00A25C92" w:rsidRPr="00E84D81">
        <w:rPr>
          <w:rFonts w:eastAsia="仿宋_GB2312"/>
          <w:kern w:val="0"/>
          <w:sz w:val="32"/>
          <w:szCs w:val="32"/>
        </w:rPr>
        <w:t>效应量（</w:t>
      </w:r>
      <w:r w:rsidR="003007DF" w:rsidRPr="00E84D81">
        <w:rPr>
          <w:rFonts w:eastAsia="仿宋_GB2312"/>
          <w:i/>
          <w:kern w:val="0"/>
          <w:sz w:val="32"/>
          <w:szCs w:val="32"/>
        </w:rPr>
        <w:t>d</w:t>
      </w:r>
      <w:r w:rsidR="00A25C92" w:rsidRPr="00E84D81">
        <w:rPr>
          <w:rFonts w:eastAsia="仿宋_GB2312"/>
          <w:kern w:val="0"/>
          <w:sz w:val="32"/>
          <w:szCs w:val="32"/>
        </w:rPr>
        <w:t>= (</w:t>
      </w:r>
      <w:r w:rsidR="003007DF" w:rsidRPr="00E84D81">
        <w:rPr>
          <w:rFonts w:eastAsia="仿宋_GB2312"/>
          <w:i/>
          <w:kern w:val="0"/>
          <w:sz w:val="32"/>
          <w:szCs w:val="32"/>
        </w:rPr>
        <w:t>μ</w:t>
      </w:r>
      <w:r w:rsidR="003007DF" w:rsidRPr="00E84D81">
        <w:rPr>
          <w:rFonts w:eastAsia="仿宋_GB2312"/>
          <w:kern w:val="0"/>
          <w:sz w:val="32"/>
          <w:szCs w:val="32"/>
          <w:vertAlign w:val="subscript"/>
        </w:rPr>
        <w:t>1</w:t>
      </w:r>
      <w:r w:rsidR="003007DF" w:rsidRPr="00E84D81">
        <w:rPr>
          <w:rFonts w:eastAsia="仿宋_GB2312"/>
          <w:kern w:val="0"/>
          <w:sz w:val="32"/>
          <w:szCs w:val="32"/>
        </w:rPr>
        <w:t xml:space="preserve"> -</w:t>
      </w:r>
      <w:r w:rsidR="003007DF" w:rsidRPr="00E84D81">
        <w:rPr>
          <w:rFonts w:eastAsia="仿宋_GB2312"/>
          <w:i/>
          <w:kern w:val="0"/>
          <w:sz w:val="32"/>
          <w:szCs w:val="32"/>
        </w:rPr>
        <w:t>μ</w:t>
      </w:r>
      <w:r w:rsidR="003007DF" w:rsidRPr="00E84D81">
        <w:rPr>
          <w:rFonts w:eastAsia="仿宋_GB2312"/>
          <w:kern w:val="0"/>
          <w:sz w:val="32"/>
          <w:szCs w:val="32"/>
          <w:vertAlign w:val="subscript"/>
        </w:rPr>
        <w:t>2</w:t>
      </w:r>
      <w:r w:rsidR="00A25C92" w:rsidRPr="00E84D81">
        <w:rPr>
          <w:rFonts w:eastAsia="仿宋_GB2312"/>
          <w:kern w:val="0"/>
          <w:sz w:val="32"/>
          <w:szCs w:val="32"/>
        </w:rPr>
        <w:t>) /</w:t>
      </w:r>
      <w:r w:rsidR="003007DF" w:rsidRPr="00E84D81">
        <w:rPr>
          <w:rFonts w:eastAsia="仿宋_GB2312"/>
          <w:i/>
          <w:kern w:val="0"/>
          <w:sz w:val="32"/>
          <w:szCs w:val="32"/>
        </w:rPr>
        <w:t>σ</w:t>
      </w:r>
      <w:r w:rsidR="00A25C92" w:rsidRPr="00E84D81">
        <w:rPr>
          <w:rFonts w:eastAsia="仿宋_GB2312"/>
          <w:kern w:val="0"/>
          <w:sz w:val="32"/>
          <w:szCs w:val="32"/>
        </w:rPr>
        <w:t>）为</w:t>
      </w:r>
      <w:r w:rsidR="00A25C92" w:rsidRPr="00E84D81">
        <w:rPr>
          <w:rFonts w:eastAsia="仿宋_GB2312"/>
          <w:kern w:val="0"/>
          <w:sz w:val="32"/>
          <w:szCs w:val="32"/>
        </w:rPr>
        <w:t>0.5</w:t>
      </w:r>
      <w:r w:rsidR="00A25C92" w:rsidRPr="00E84D81">
        <w:rPr>
          <w:rFonts w:eastAsia="仿宋_GB2312"/>
          <w:kern w:val="0"/>
          <w:sz w:val="32"/>
          <w:szCs w:val="32"/>
        </w:rPr>
        <w:t>，双侧检验水准</w:t>
      </w:r>
      <w:r w:rsidR="003007DF" w:rsidRPr="00E84D81">
        <w:rPr>
          <w:rFonts w:eastAsia="仿宋_GB2312"/>
          <w:i/>
          <w:kern w:val="0"/>
          <w:sz w:val="32"/>
          <w:szCs w:val="32"/>
        </w:rPr>
        <w:t>α</w:t>
      </w:r>
      <w:r w:rsidR="00A25C92" w:rsidRPr="00E84D81">
        <w:rPr>
          <w:rFonts w:eastAsia="仿宋_GB2312"/>
          <w:kern w:val="0"/>
          <w:sz w:val="32"/>
          <w:szCs w:val="32"/>
        </w:rPr>
        <w:t>取</w:t>
      </w:r>
      <w:r w:rsidR="00A25C92" w:rsidRPr="00E84D81">
        <w:rPr>
          <w:rFonts w:eastAsia="仿宋_GB2312"/>
          <w:kern w:val="0"/>
          <w:sz w:val="32"/>
          <w:szCs w:val="32"/>
        </w:rPr>
        <w:t>0.05</w:t>
      </w:r>
      <w:r w:rsidR="00A25C92" w:rsidRPr="00E84D81">
        <w:rPr>
          <w:rFonts w:eastAsia="仿宋_GB2312"/>
          <w:kern w:val="0"/>
          <w:sz w:val="32"/>
          <w:szCs w:val="32"/>
        </w:rPr>
        <w:t>，把握度（</w:t>
      </w:r>
      <w:r w:rsidR="00A25C92" w:rsidRPr="00E84D81">
        <w:rPr>
          <w:rFonts w:eastAsia="仿宋_GB2312"/>
          <w:kern w:val="0"/>
          <w:sz w:val="32"/>
          <w:szCs w:val="32"/>
        </w:rPr>
        <w:t>1-</w:t>
      </w:r>
      <w:r w:rsidR="003007DF" w:rsidRPr="00E84D81">
        <w:rPr>
          <w:rFonts w:eastAsia="仿宋_GB2312"/>
          <w:i/>
          <w:kern w:val="0"/>
          <w:sz w:val="32"/>
          <w:szCs w:val="32"/>
        </w:rPr>
        <w:t>β</w:t>
      </w:r>
      <w:r w:rsidR="00A25C92" w:rsidRPr="00E84D81">
        <w:rPr>
          <w:rFonts w:eastAsia="仿宋_GB2312"/>
          <w:kern w:val="0"/>
          <w:sz w:val="32"/>
          <w:szCs w:val="32"/>
        </w:rPr>
        <w:t>）取</w:t>
      </w:r>
      <w:r w:rsidR="00A25C92" w:rsidRPr="00E84D81">
        <w:rPr>
          <w:rFonts w:eastAsia="仿宋_GB2312"/>
          <w:kern w:val="0"/>
          <w:sz w:val="32"/>
          <w:szCs w:val="32"/>
        </w:rPr>
        <w:t>80%</w:t>
      </w:r>
      <w:r w:rsidR="00A25C92" w:rsidRPr="00E84D81">
        <w:rPr>
          <w:rFonts w:eastAsia="仿宋_GB2312"/>
          <w:kern w:val="0"/>
          <w:sz w:val="32"/>
          <w:szCs w:val="32"/>
        </w:rPr>
        <w:t>，试验组与对照组样本量之比为</w:t>
      </w:r>
      <w:r w:rsidR="00A25C92" w:rsidRPr="00E84D81">
        <w:rPr>
          <w:rFonts w:eastAsia="仿宋_GB2312"/>
          <w:kern w:val="0"/>
          <w:sz w:val="32"/>
          <w:szCs w:val="32"/>
        </w:rPr>
        <w:t>3</w:t>
      </w:r>
      <w:r w:rsidR="00A25C92" w:rsidRPr="00E84D81">
        <w:rPr>
          <w:rFonts w:eastAsia="仿宋_GB2312"/>
          <w:kern w:val="0"/>
          <w:sz w:val="32"/>
          <w:szCs w:val="32"/>
        </w:rPr>
        <w:t>：</w:t>
      </w:r>
      <w:r w:rsidR="00A25C92" w:rsidRPr="00E84D81">
        <w:rPr>
          <w:rFonts w:eastAsia="仿宋_GB2312"/>
          <w:kern w:val="0"/>
          <w:sz w:val="32"/>
          <w:szCs w:val="32"/>
        </w:rPr>
        <w:t>1</w:t>
      </w:r>
      <w:r w:rsidR="00A25C92" w:rsidRPr="00E84D81">
        <w:rPr>
          <w:rFonts w:eastAsia="仿宋_GB2312"/>
          <w:kern w:val="0"/>
          <w:sz w:val="32"/>
          <w:szCs w:val="32"/>
        </w:rPr>
        <w:t>，预期脱落率为</w:t>
      </w:r>
      <w:r w:rsidR="00A25C92" w:rsidRPr="00E84D81">
        <w:rPr>
          <w:rFonts w:eastAsia="仿宋_GB2312"/>
          <w:kern w:val="0"/>
          <w:sz w:val="32"/>
          <w:szCs w:val="32"/>
        </w:rPr>
        <w:t>20%</w:t>
      </w:r>
      <w:r w:rsidR="00A25C92" w:rsidRPr="00E84D81">
        <w:rPr>
          <w:rFonts w:eastAsia="仿宋_GB2312"/>
          <w:kern w:val="0"/>
          <w:sz w:val="32"/>
          <w:szCs w:val="32"/>
        </w:rPr>
        <w:t>，推算所需样本量为试验组</w:t>
      </w:r>
      <w:r w:rsidR="00917251" w:rsidRPr="00E84D81">
        <w:rPr>
          <w:rFonts w:eastAsia="仿宋_GB2312"/>
          <w:kern w:val="0"/>
          <w:sz w:val="32"/>
          <w:szCs w:val="32"/>
        </w:rPr>
        <w:t>162</w:t>
      </w:r>
      <w:r w:rsidR="00A25C92" w:rsidRPr="00E84D81">
        <w:rPr>
          <w:rFonts w:eastAsia="仿宋_GB2312"/>
          <w:kern w:val="0"/>
          <w:sz w:val="32"/>
          <w:szCs w:val="32"/>
        </w:rPr>
        <w:t>例</w:t>
      </w:r>
      <w:r w:rsidR="00917251" w:rsidRPr="00E84D81">
        <w:rPr>
          <w:rFonts w:eastAsia="仿宋_GB2312"/>
          <w:kern w:val="0"/>
          <w:sz w:val="32"/>
          <w:szCs w:val="32"/>
        </w:rPr>
        <w:t>，</w:t>
      </w:r>
      <w:r w:rsidR="00A25C92" w:rsidRPr="00E84D81">
        <w:rPr>
          <w:rFonts w:eastAsia="仿宋_GB2312"/>
          <w:kern w:val="0"/>
          <w:sz w:val="32"/>
          <w:szCs w:val="32"/>
        </w:rPr>
        <w:t>对照组</w:t>
      </w:r>
      <w:r w:rsidR="00917251" w:rsidRPr="00E84D81">
        <w:rPr>
          <w:rFonts w:eastAsia="仿宋_GB2312"/>
          <w:kern w:val="0"/>
          <w:sz w:val="32"/>
          <w:szCs w:val="32"/>
        </w:rPr>
        <w:t>54</w:t>
      </w:r>
      <w:r w:rsidR="00A25C92" w:rsidRPr="00E84D81">
        <w:rPr>
          <w:rFonts w:eastAsia="仿宋_GB2312"/>
          <w:kern w:val="0"/>
          <w:sz w:val="32"/>
          <w:szCs w:val="32"/>
        </w:rPr>
        <w:t>例。</w:t>
      </w:r>
    </w:p>
    <w:p w:rsidR="004E2B83" w:rsidRPr="00E84D81" w:rsidRDefault="00D4144A" w:rsidP="00E84D81">
      <w:pPr>
        <w:autoSpaceDE w:val="0"/>
        <w:autoSpaceDN w:val="0"/>
        <w:adjustRightInd w:val="0"/>
        <w:spacing w:line="520" w:lineRule="exact"/>
        <w:ind w:firstLineChars="200" w:firstLine="640"/>
        <w:outlineLvl w:val="1"/>
        <w:rPr>
          <w:rFonts w:eastAsia="楷体_GB2312"/>
          <w:sz w:val="32"/>
          <w:szCs w:val="32"/>
        </w:rPr>
      </w:pPr>
      <w:r w:rsidRPr="00E84D81">
        <w:rPr>
          <w:rFonts w:eastAsia="楷体_GB2312"/>
          <w:kern w:val="0"/>
          <w:sz w:val="32"/>
          <w:szCs w:val="32"/>
        </w:rPr>
        <w:t>（六）</w:t>
      </w:r>
      <w:r w:rsidRPr="00E84D81">
        <w:rPr>
          <w:rFonts w:eastAsia="楷体_GB2312"/>
          <w:sz w:val="32"/>
          <w:szCs w:val="32"/>
        </w:rPr>
        <w:t>入选</w:t>
      </w:r>
      <w:r w:rsidRPr="00E84D81">
        <w:rPr>
          <w:rFonts w:eastAsia="楷体_GB2312"/>
          <w:sz w:val="32"/>
          <w:szCs w:val="32"/>
        </w:rPr>
        <w:t>/</w:t>
      </w:r>
      <w:r w:rsidRPr="00E84D81">
        <w:rPr>
          <w:rFonts w:eastAsia="楷体_GB2312"/>
          <w:sz w:val="32"/>
          <w:szCs w:val="32"/>
        </w:rPr>
        <w:t>排除标准</w:t>
      </w:r>
    </w:p>
    <w:p w:rsidR="004E2B83" w:rsidRPr="00E84D81" w:rsidRDefault="00D4144A" w:rsidP="00E84D81">
      <w:pPr>
        <w:autoSpaceDE w:val="0"/>
        <w:autoSpaceDN w:val="0"/>
        <w:adjustRightInd w:val="0"/>
        <w:spacing w:line="520" w:lineRule="exact"/>
        <w:ind w:firstLineChars="200" w:firstLine="640"/>
        <w:jc w:val="left"/>
        <w:rPr>
          <w:rFonts w:eastAsia="仿宋_GB2312"/>
          <w:kern w:val="0"/>
          <w:sz w:val="32"/>
          <w:szCs w:val="32"/>
        </w:rPr>
      </w:pPr>
      <w:r w:rsidRPr="00E84D81">
        <w:rPr>
          <w:rFonts w:eastAsia="仿宋_GB2312"/>
          <w:kern w:val="0"/>
          <w:sz w:val="32"/>
          <w:szCs w:val="32"/>
        </w:rPr>
        <w:t>临床试验方案中需有明确的入选</w:t>
      </w:r>
      <w:r w:rsidRPr="00E84D81">
        <w:rPr>
          <w:rFonts w:eastAsia="仿宋_GB2312"/>
          <w:kern w:val="0"/>
          <w:sz w:val="32"/>
          <w:szCs w:val="32"/>
        </w:rPr>
        <w:t>/</w:t>
      </w:r>
      <w:r w:rsidRPr="00E84D81">
        <w:rPr>
          <w:rFonts w:eastAsia="仿宋_GB2312"/>
          <w:kern w:val="0"/>
          <w:sz w:val="32"/>
          <w:szCs w:val="32"/>
        </w:rPr>
        <w:t>排除标准。入选标准和排除标准需针对产品预期用途和材料特性制订。试验组和对照组的入选</w:t>
      </w:r>
      <w:r w:rsidRPr="00E84D81">
        <w:rPr>
          <w:rFonts w:eastAsia="仿宋_GB2312"/>
          <w:kern w:val="0"/>
          <w:sz w:val="32"/>
          <w:szCs w:val="32"/>
        </w:rPr>
        <w:t>/</w:t>
      </w:r>
      <w:r w:rsidRPr="00E84D81">
        <w:rPr>
          <w:rFonts w:eastAsia="仿宋_GB2312"/>
          <w:kern w:val="0"/>
          <w:sz w:val="32"/>
          <w:szCs w:val="32"/>
        </w:rPr>
        <w:t>排除标准需统一。</w:t>
      </w:r>
    </w:p>
    <w:p w:rsidR="004E2B83" w:rsidRPr="00E84D81" w:rsidRDefault="00D4144A" w:rsidP="00E84D81">
      <w:pPr>
        <w:autoSpaceDE w:val="0"/>
        <w:autoSpaceDN w:val="0"/>
        <w:adjustRightInd w:val="0"/>
        <w:spacing w:line="520" w:lineRule="exact"/>
        <w:ind w:firstLineChars="200" w:firstLine="640"/>
        <w:jc w:val="left"/>
        <w:rPr>
          <w:rFonts w:eastAsia="仿宋_GB2312"/>
          <w:kern w:val="0"/>
          <w:sz w:val="32"/>
          <w:szCs w:val="32"/>
        </w:rPr>
      </w:pPr>
      <w:r w:rsidRPr="00E84D81">
        <w:rPr>
          <w:rFonts w:eastAsia="仿宋_GB2312"/>
          <w:kern w:val="0"/>
          <w:sz w:val="32"/>
          <w:szCs w:val="32"/>
        </w:rPr>
        <w:t>建议纳入标准至少包括但不限于以下内容：</w:t>
      </w:r>
      <w:r w:rsidRPr="00E84D81">
        <w:rPr>
          <w:rFonts w:eastAsia="仿宋_GB2312"/>
          <w:kern w:val="0"/>
          <w:sz w:val="32"/>
          <w:szCs w:val="32"/>
        </w:rPr>
        <w:t>18</w:t>
      </w:r>
      <w:r w:rsidRPr="00E84D81">
        <w:rPr>
          <w:rFonts w:eastAsia="仿宋_GB2312"/>
          <w:kern w:val="0"/>
          <w:sz w:val="32"/>
          <w:szCs w:val="32"/>
        </w:rPr>
        <w:t>周岁以上；明确要评估的缺陷（如皱纹、容积缺失）相比于基线的严重</w:t>
      </w:r>
      <w:r w:rsidRPr="00E84D81">
        <w:rPr>
          <w:rFonts w:eastAsia="仿宋_GB2312"/>
          <w:kern w:val="0"/>
          <w:sz w:val="32"/>
          <w:szCs w:val="32"/>
        </w:rPr>
        <w:lastRenderedPageBreak/>
        <w:t>程度；受试者自愿参加本试验，并签署知情同意书。</w:t>
      </w:r>
    </w:p>
    <w:p w:rsidR="00FC5D51" w:rsidRPr="00E84D81" w:rsidRDefault="00925754" w:rsidP="00E84D81">
      <w:pPr>
        <w:autoSpaceDE w:val="0"/>
        <w:autoSpaceDN w:val="0"/>
        <w:adjustRightInd w:val="0"/>
        <w:spacing w:line="520" w:lineRule="exact"/>
        <w:ind w:firstLineChars="200" w:firstLine="640"/>
        <w:jc w:val="left"/>
        <w:rPr>
          <w:rFonts w:eastAsia="仿宋_GB2312"/>
          <w:kern w:val="0"/>
          <w:sz w:val="32"/>
          <w:szCs w:val="32"/>
        </w:rPr>
      </w:pPr>
      <w:r w:rsidRPr="00E84D81">
        <w:rPr>
          <w:rFonts w:eastAsia="仿宋_GB2312"/>
          <w:kern w:val="0"/>
          <w:sz w:val="32"/>
          <w:szCs w:val="32"/>
        </w:rPr>
        <w:t>建议</w:t>
      </w:r>
      <w:r w:rsidR="00FC5D51" w:rsidRPr="00E84D81">
        <w:rPr>
          <w:rFonts w:eastAsia="仿宋_GB2312"/>
          <w:kern w:val="0"/>
          <w:sz w:val="32"/>
          <w:szCs w:val="32"/>
        </w:rPr>
        <w:t>对于注射用重组</w:t>
      </w:r>
      <w:r w:rsidR="00FC5D51" w:rsidRPr="00E84D81">
        <w:rPr>
          <w:rFonts w:hAnsi="宋体"/>
          <w:kern w:val="0"/>
          <w:sz w:val="32"/>
          <w:szCs w:val="32"/>
        </w:rPr>
        <w:t>Ⅲ</w:t>
      </w:r>
      <w:r w:rsidR="00FC5D51" w:rsidRPr="00E84D81">
        <w:rPr>
          <w:rFonts w:eastAsia="仿宋_GB2312"/>
          <w:kern w:val="0"/>
          <w:sz w:val="32"/>
          <w:szCs w:val="32"/>
        </w:rPr>
        <w:t>型人源化胶原蛋白产品，若适用范围为该产品用于面部真皮组织填充以纠正额部动力性皱纹（包括眉间纹、额头纹和鱼尾纹），纳入标准</w:t>
      </w:r>
      <w:r w:rsidRPr="00E84D81">
        <w:rPr>
          <w:rFonts w:eastAsia="仿宋_GB2312"/>
          <w:kern w:val="0"/>
          <w:sz w:val="32"/>
          <w:szCs w:val="32"/>
        </w:rPr>
        <w:t>需</w:t>
      </w:r>
      <w:r w:rsidR="00FC5D51" w:rsidRPr="00E84D81">
        <w:rPr>
          <w:rFonts w:eastAsia="仿宋_GB2312"/>
          <w:kern w:val="0"/>
          <w:sz w:val="32"/>
          <w:szCs w:val="32"/>
        </w:rPr>
        <w:t>明确受试者应尽可能同时包括眉间纹、额头纹和鱼尾纹。</w:t>
      </w:r>
    </w:p>
    <w:p w:rsidR="00FC5D51" w:rsidRPr="00E84D81" w:rsidRDefault="00A22BE5" w:rsidP="00E84D81">
      <w:pPr>
        <w:autoSpaceDE w:val="0"/>
        <w:autoSpaceDN w:val="0"/>
        <w:adjustRightInd w:val="0"/>
        <w:spacing w:line="520" w:lineRule="exact"/>
        <w:ind w:firstLineChars="200" w:firstLine="640"/>
        <w:jc w:val="left"/>
        <w:rPr>
          <w:rFonts w:eastAsia="仿宋_GB2312"/>
          <w:kern w:val="0"/>
          <w:sz w:val="32"/>
          <w:szCs w:val="32"/>
        </w:rPr>
      </w:pPr>
      <w:r>
        <w:rPr>
          <w:rFonts w:eastAsia="仿宋_GB2312"/>
          <w:kern w:val="0"/>
          <w:sz w:val="32"/>
          <w:szCs w:val="32"/>
        </w:rPr>
        <w:t>建议排除标准至少包括但不限于以下内容：在研究阶段内</w:t>
      </w:r>
      <w:r w:rsidR="00D4144A" w:rsidRPr="00E84D81">
        <w:rPr>
          <w:rFonts w:eastAsia="仿宋_GB2312"/>
          <w:kern w:val="0"/>
          <w:sz w:val="32"/>
          <w:szCs w:val="32"/>
        </w:rPr>
        <w:t>接受</w:t>
      </w:r>
      <w:r>
        <w:rPr>
          <w:rFonts w:eastAsia="仿宋_GB2312" w:hint="eastAsia"/>
          <w:kern w:val="0"/>
          <w:sz w:val="32"/>
          <w:szCs w:val="32"/>
        </w:rPr>
        <w:t>过</w:t>
      </w:r>
      <w:r w:rsidR="00D4144A" w:rsidRPr="00E84D81">
        <w:rPr>
          <w:rFonts w:eastAsia="仿宋_GB2312"/>
          <w:kern w:val="0"/>
          <w:sz w:val="32"/>
          <w:szCs w:val="32"/>
        </w:rPr>
        <w:t>任何其他面部手术、药物治疗或激光治疗等治疗的患者；患有某些潜在疾病（如过敏史、出血性疾病、传染性疾病、皮肤恶性疾病史、免疫功能障碍、急性炎症或感染、未控制的糖尿病、恶性肿瘤等严重系统性疾病、心理障碍及精神疾病、视力障碍等）的患者；孕妇、备孕期及哺乳期妇女。</w:t>
      </w:r>
    </w:p>
    <w:p w:rsidR="004E2B83" w:rsidRPr="00E84D81" w:rsidRDefault="00D4144A" w:rsidP="00E84D81">
      <w:pPr>
        <w:spacing w:line="520" w:lineRule="exact"/>
        <w:ind w:firstLineChars="200" w:firstLine="640"/>
        <w:outlineLvl w:val="1"/>
        <w:rPr>
          <w:rFonts w:eastAsia="楷体_GB2312"/>
          <w:sz w:val="32"/>
          <w:szCs w:val="32"/>
        </w:rPr>
      </w:pPr>
      <w:r w:rsidRPr="00E84D81">
        <w:rPr>
          <w:rFonts w:eastAsia="楷体_GB2312"/>
          <w:sz w:val="32"/>
          <w:szCs w:val="32"/>
        </w:rPr>
        <w:t>（七）数据的分析和评价</w:t>
      </w:r>
    </w:p>
    <w:p w:rsidR="004E2B83" w:rsidRPr="00E84D81" w:rsidRDefault="00D4144A" w:rsidP="00E84D81">
      <w:pPr>
        <w:autoSpaceDE w:val="0"/>
        <w:autoSpaceDN w:val="0"/>
        <w:adjustRightInd w:val="0"/>
        <w:spacing w:line="520" w:lineRule="exact"/>
        <w:ind w:firstLineChars="200" w:firstLine="640"/>
        <w:outlineLvl w:val="2"/>
        <w:rPr>
          <w:rFonts w:eastAsia="仿宋_GB2312"/>
          <w:kern w:val="0"/>
          <w:sz w:val="32"/>
          <w:szCs w:val="32"/>
        </w:rPr>
      </w:pPr>
      <w:r w:rsidRPr="00E84D81">
        <w:rPr>
          <w:rFonts w:eastAsia="仿宋_GB2312"/>
          <w:kern w:val="0"/>
          <w:sz w:val="32"/>
          <w:szCs w:val="32"/>
        </w:rPr>
        <w:t>1.</w:t>
      </w:r>
      <w:r w:rsidRPr="00E84D81">
        <w:rPr>
          <w:rFonts w:eastAsia="仿宋_GB2312"/>
          <w:kern w:val="0"/>
          <w:sz w:val="32"/>
          <w:szCs w:val="32"/>
        </w:rPr>
        <w:t>基本信息的描述</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需在临床试验报告中明确各研究组入选的受试者数和各分析数据集的例数，明确所有受试者是否全部完成随访，完成随访的受试者是否均纳入统计。对于因违背研究方案而被剔除的以及没能完成研究中途脱落</w:t>
      </w:r>
      <w:r w:rsidRPr="00E84D81">
        <w:rPr>
          <w:rFonts w:eastAsia="仿宋_GB2312"/>
          <w:kern w:val="0"/>
          <w:sz w:val="32"/>
          <w:szCs w:val="32"/>
        </w:rPr>
        <w:t>/</w:t>
      </w:r>
      <w:r w:rsidRPr="00E84D81">
        <w:rPr>
          <w:rFonts w:eastAsia="仿宋_GB2312"/>
          <w:kern w:val="0"/>
          <w:sz w:val="32"/>
          <w:szCs w:val="32"/>
        </w:rPr>
        <w:t>失访的受试者需明确剔除或脱落</w:t>
      </w:r>
      <w:r w:rsidRPr="00E84D81">
        <w:rPr>
          <w:rFonts w:eastAsia="仿宋_GB2312"/>
          <w:kern w:val="0"/>
          <w:sz w:val="32"/>
          <w:szCs w:val="32"/>
        </w:rPr>
        <w:t>/</w:t>
      </w:r>
      <w:r w:rsidRPr="00E84D81">
        <w:rPr>
          <w:rFonts w:eastAsia="仿宋_GB2312"/>
          <w:kern w:val="0"/>
          <w:sz w:val="32"/>
          <w:szCs w:val="32"/>
        </w:rPr>
        <w:t>失访的具体原因。</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需在临床试验报告中提供注射用量、产品型号规格、注射针规格等信息。若存在补充注射的情况（按照产品说明书中的使用方法），需在报告中体现相关受试者比例及两次注射时间间隔等相关信息。</w:t>
      </w:r>
    </w:p>
    <w:p w:rsidR="004E2B83" w:rsidRPr="00E84D81" w:rsidRDefault="00D4144A" w:rsidP="00E84D81">
      <w:pPr>
        <w:autoSpaceDE w:val="0"/>
        <w:autoSpaceDN w:val="0"/>
        <w:adjustRightInd w:val="0"/>
        <w:spacing w:line="520" w:lineRule="exact"/>
        <w:ind w:firstLineChars="200" w:firstLine="640"/>
        <w:outlineLvl w:val="2"/>
        <w:rPr>
          <w:rFonts w:eastAsia="仿宋_GB2312"/>
          <w:kern w:val="0"/>
          <w:sz w:val="32"/>
          <w:szCs w:val="32"/>
        </w:rPr>
      </w:pPr>
      <w:r w:rsidRPr="00E84D81">
        <w:rPr>
          <w:rFonts w:eastAsia="仿宋_GB2312"/>
          <w:kern w:val="0"/>
          <w:sz w:val="32"/>
          <w:szCs w:val="32"/>
        </w:rPr>
        <w:t>2.</w:t>
      </w:r>
      <w:r w:rsidRPr="00E84D81">
        <w:rPr>
          <w:rFonts w:eastAsia="仿宋_GB2312"/>
          <w:kern w:val="0"/>
          <w:sz w:val="32"/>
          <w:szCs w:val="32"/>
        </w:rPr>
        <w:t>分析数据集</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全分析集（</w:t>
      </w:r>
      <w:r w:rsidRPr="00E84D81">
        <w:rPr>
          <w:rFonts w:eastAsia="仿宋_GB2312"/>
          <w:kern w:val="0"/>
          <w:sz w:val="32"/>
          <w:szCs w:val="32"/>
        </w:rPr>
        <w:t>FAS</w:t>
      </w:r>
      <w:r w:rsidRPr="00E84D81">
        <w:rPr>
          <w:rFonts w:eastAsia="仿宋_GB2312"/>
          <w:kern w:val="0"/>
          <w:sz w:val="32"/>
          <w:szCs w:val="32"/>
        </w:rPr>
        <w:t>）：需包括所有入组并至少进行过一次有效性评价的受试者，无论其是否违背方案。</w:t>
      </w:r>
      <w:r w:rsidRPr="00E84D81">
        <w:rPr>
          <w:rFonts w:eastAsia="仿宋_GB2312"/>
          <w:kern w:val="0"/>
          <w:sz w:val="32"/>
          <w:szCs w:val="32"/>
        </w:rPr>
        <w:t>FAS</w:t>
      </w:r>
      <w:r w:rsidRPr="00E84D81">
        <w:rPr>
          <w:rFonts w:eastAsia="仿宋_GB2312"/>
          <w:kern w:val="0"/>
          <w:sz w:val="32"/>
          <w:szCs w:val="32"/>
        </w:rPr>
        <w:t>对于缺失</w:t>
      </w:r>
      <w:r w:rsidRPr="00E84D81">
        <w:rPr>
          <w:rFonts w:eastAsia="仿宋_GB2312"/>
          <w:kern w:val="0"/>
          <w:sz w:val="32"/>
          <w:szCs w:val="32"/>
        </w:rPr>
        <w:lastRenderedPageBreak/>
        <w:t>的数据建议采用保守的填补方法并论证其保守性，不建议采用末次观测值结转法（</w:t>
      </w:r>
      <w:r w:rsidRPr="00E84D81">
        <w:rPr>
          <w:rFonts w:eastAsia="仿宋_GB2312"/>
          <w:kern w:val="0"/>
          <w:sz w:val="32"/>
          <w:szCs w:val="32"/>
        </w:rPr>
        <w:t>LOCF</w:t>
      </w:r>
      <w:r w:rsidRPr="00E84D81">
        <w:rPr>
          <w:rFonts w:eastAsia="仿宋_GB2312"/>
          <w:kern w:val="0"/>
          <w:sz w:val="32"/>
          <w:szCs w:val="32"/>
        </w:rPr>
        <w:t>）。</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符合方案集（</w:t>
      </w:r>
      <w:r w:rsidRPr="00E84D81">
        <w:rPr>
          <w:rFonts w:eastAsia="仿宋_GB2312"/>
          <w:kern w:val="0"/>
          <w:sz w:val="32"/>
          <w:szCs w:val="32"/>
        </w:rPr>
        <w:t>PP</w:t>
      </w:r>
      <w:r w:rsidRPr="00E84D81">
        <w:rPr>
          <w:rFonts w:eastAsia="仿宋_GB2312"/>
          <w:kern w:val="0"/>
          <w:sz w:val="32"/>
          <w:szCs w:val="32"/>
        </w:rPr>
        <w:t>）：需包括所有入组、</w:t>
      </w:r>
      <w:r w:rsidR="00A22BE5">
        <w:rPr>
          <w:rFonts w:eastAsia="仿宋_GB2312" w:hint="eastAsia"/>
          <w:kern w:val="0"/>
          <w:sz w:val="32"/>
          <w:szCs w:val="32"/>
        </w:rPr>
        <w:t>并</w:t>
      </w:r>
      <w:r w:rsidRPr="00E84D81">
        <w:rPr>
          <w:rFonts w:eastAsia="仿宋_GB2312"/>
          <w:kern w:val="0"/>
          <w:sz w:val="32"/>
          <w:szCs w:val="32"/>
        </w:rPr>
        <w:t>完成主要指标的随访并无严重违背方案的受试者。</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安全集（</w:t>
      </w:r>
      <w:r w:rsidRPr="00E84D81">
        <w:rPr>
          <w:rFonts w:eastAsia="仿宋_GB2312"/>
          <w:kern w:val="0"/>
          <w:sz w:val="32"/>
          <w:szCs w:val="32"/>
        </w:rPr>
        <w:t>SS</w:t>
      </w:r>
      <w:r w:rsidRPr="00E84D81">
        <w:rPr>
          <w:rFonts w:eastAsia="仿宋_GB2312"/>
          <w:kern w:val="0"/>
          <w:sz w:val="32"/>
          <w:szCs w:val="32"/>
        </w:rPr>
        <w:t>）：需包括所有入组并至少进行过一次安全性评价的受试者。</w:t>
      </w:r>
    </w:p>
    <w:p w:rsidR="004E2B83" w:rsidRPr="00E84D81" w:rsidRDefault="00D4144A" w:rsidP="00E84D81">
      <w:pPr>
        <w:autoSpaceDE w:val="0"/>
        <w:autoSpaceDN w:val="0"/>
        <w:adjustRightInd w:val="0"/>
        <w:spacing w:line="520" w:lineRule="exact"/>
        <w:ind w:firstLineChars="200" w:firstLine="640"/>
        <w:outlineLvl w:val="2"/>
        <w:rPr>
          <w:rFonts w:eastAsia="仿宋_GB2312"/>
          <w:kern w:val="0"/>
          <w:sz w:val="32"/>
          <w:szCs w:val="32"/>
        </w:rPr>
      </w:pPr>
      <w:r w:rsidRPr="00E84D81">
        <w:rPr>
          <w:rFonts w:eastAsia="仿宋_GB2312"/>
          <w:kern w:val="0"/>
          <w:sz w:val="32"/>
          <w:szCs w:val="32"/>
        </w:rPr>
        <w:t>3.</w:t>
      </w:r>
      <w:r w:rsidRPr="00E84D81">
        <w:rPr>
          <w:rFonts w:eastAsia="仿宋_GB2312"/>
          <w:kern w:val="0"/>
          <w:sz w:val="32"/>
          <w:szCs w:val="32"/>
        </w:rPr>
        <w:t>基线的均衡性分析</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需进行试验组与对照组基线的均衡性分析。如果基线变量存在组间差异，需分析基线的不均衡可能对结果造成的影响；基线组间均衡性分析一般在</w:t>
      </w:r>
      <w:r w:rsidRPr="00E84D81">
        <w:rPr>
          <w:rFonts w:eastAsia="仿宋_GB2312"/>
          <w:kern w:val="0"/>
          <w:sz w:val="32"/>
          <w:szCs w:val="32"/>
        </w:rPr>
        <w:t>FAS</w:t>
      </w:r>
      <w:r w:rsidRPr="00E84D81">
        <w:rPr>
          <w:rFonts w:eastAsia="仿宋_GB2312"/>
          <w:kern w:val="0"/>
          <w:sz w:val="32"/>
          <w:szCs w:val="32"/>
        </w:rPr>
        <w:t>的基础上进行。基线数据一般包括受试者年龄、性别、体重、皱纹严重程度分级值等变量。</w:t>
      </w:r>
    </w:p>
    <w:p w:rsidR="004E2B83" w:rsidRPr="00E84D81" w:rsidRDefault="00D4144A" w:rsidP="00E84D81">
      <w:pPr>
        <w:autoSpaceDE w:val="0"/>
        <w:autoSpaceDN w:val="0"/>
        <w:adjustRightInd w:val="0"/>
        <w:spacing w:line="520" w:lineRule="exact"/>
        <w:ind w:firstLineChars="200" w:firstLine="640"/>
        <w:outlineLvl w:val="2"/>
        <w:rPr>
          <w:rFonts w:eastAsia="仿宋_GB2312"/>
          <w:kern w:val="0"/>
          <w:sz w:val="32"/>
          <w:szCs w:val="32"/>
        </w:rPr>
      </w:pPr>
      <w:r w:rsidRPr="00E84D81">
        <w:rPr>
          <w:rFonts w:eastAsia="仿宋_GB2312"/>
          <w:kern w:val="0"/>
          <w:sz w:val="32"/>
          <w:szCs w:val="32"/>
        </w:rPr>
        <w:t>4.</w:t>
      </w:r>
      <w:r w:rsidRPr="00E84D81">
        <w:rPr>
          <w:rFonts w:eastAsia="仿宋_GB2312"/>
          <w:kern w:val="0"/>
          <w:sz w:val="32"/>
          <w:szCs w:val="32"/>
        </w:rPr>
        <w:t>有效性评价</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需按照临床方案中的统计处理方法对主要评价指标分别在</w:t>
      </w:r>
      <w:r w:rsidRPr="00E84D81">
        <w:rPr>
          <w:rFonts w:eastAsia="仿宋_GB2312"/>
          <w:kern w:val="0"/>
          <w:sz w:val="32"/>
          <w:szCs w:val="32"/>
        </w:rPr>
        <w:t>FAS</w:t>
      </w:r>
      <w:r w:rsidRPr="00E84D81">
        <w:rPr>
          <w:rFonts w:eastAsia="仿宋_GB2312"/>
          <w:kern w:val="0"/>
          <w:sz w:val="32"/>
          <w:szCs w:val="32"/>
        </w:rPr>
        <w:t>集和</w:t>
      </w:r>
      <w:r w:rsidRPr="00E84D81">
        <w:rPr>
          <w:rFonts w:eastAsia="仿宋_GB2312"/>
          <w:kern w:val="0"/>
          <w:sz w:val="32"/>
          <w:szCs w:val="32"/>
        </w:rPr>
        <w:t>PP</w:t>
      </w:r>
      <w:r w:rsidRPr="00E84D81">
        <w:rPr>
          <w:rFonts w:eastAsia="仿宋_GB2312"/>
          <w:kern w:val="0"/>
          <w:sz w:val="32"/>
          <w:szCs w:val="32"/>
        </w:rPr>
        <w:t>集检验预先设立的假设（优效</w:t>
      </w:r>
      <w:r w:rsidRPr="00E84D81">
        <w:rPr>
          <w:rFonts w:eastAsia="仿宋_GB2312"/>
          <w:kern w:val="0"/>
          <w:sz w:val="32"/>
          <w:szCs w:val="32"/>
        </w:rPr>
        <w:t>/</w:t>
      </w:r>
      <w:r w:rsidRPr="00E84D81">
        <w:rPr>
          <w:rFonts w:eastAsia="仿宋_GB2312"/>
          <w:kern w:val="0"/>
          <w:sz w:val="32"/>
          <w:szCs w:val="32"/>
        </w:rPr>
        <w:t>等效</w:t>
      </w:r>
      <w:r w:rsidRPr="00E84D81">
        <w:rPr>
          <w:rFonts w:eastAsia="仿宋_GB2312"/>
          <w:kern w:val="0"/>
          <w:sz w:val="32"/>
          <w:szCs w:val="32"/>
        </w:rPr>
        <w:t>/</w:t>
      </w:r>
      <w:r w:rsidRPr="00E84D81">
        <w:rPr>
          <w:rFonts w:eastAsia="仿宋_GB2312"/>
          <w:kern w:val="0"/>
          <w:sz w:val="32"/>
          <w:szCs w:val="32"/>
        </w:rPr>
        <w:t>非劣效）是否成立。需有充足的临床证据支持产品说明书中所描述的多数患者注射该产品后可维持有效的时间。</w:t>
      </w:r>
    </w:p>
    <w:p w:rsidR="00CE7BAF"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对于次要评价指标也需进行相应的统计分析。另外，考虑到此类产品的可吸收性，建议依据各观察时间点上的皱纹严重程度分级数值绘制曲线图以评价产品临床效果随时间变化的规律性。</w:t>
      </w:r>
    </w:p>
    <w:p w:rsidR="004E2B83" w:rsidRPr="00E84D81" w:rsidRDefault="00D4144A" w:rsidP="00E84D81">
      <w:pPr>
        <w:autoSpaceDE w:val="0"/>
        <w:autoSpaceDN w:val="0"/>
        <w:adjustRightInd w:val="0"/>
        <w:spacing w:line="520" w:lineRule="exact"/>
        <w:ind w:firstLineChars="200" w:firstLine="640"/>
        <w:outlineLvl w:val="0"/>
        <w:rPr>
          <w:rFonts w:eastAsia="仿宋_GB2312"/>
          <w:kern w:val="0"/>
          <w:sz w:val="32"/>
          <w:szCs w:val="32"/>
        </w:rPr>
      </w:pPr>
      <w:r w:rsidRPr="00E84D81">
        <w:rPr>
          <w:rFonts w:eastAsia="黑体"/>
          <w:kern w:val="0"/>
          <w:sz w:val="32"/>
          <w:szCs w:val="32"/>
        </w:rPr>
        <w:t>三、</w:t>
      </w:r>
      <w:r w:rsidRPr="00E84D81">
        <w:rPr>
          <w:rFonts w:eastAsia="黑体"/>
          <w:sz w:val="32"/>
          <w:szCs w:val="32"/>
        </w:rPr>
        <w:t>其他临床试验数据</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申请人在递交注册申报资料时应提供临床评价报告，如除临床试验资料外，申报产品还有其他合法的临床数据也可在临床评价报告中一并提交，如申报产品在境外其他国家或地区上市前</w:t>
      </w:r>
      <w:r w:rsidRPr="00E84D81">
        <w:rPr>
          <w:rFonts w:eastAsia="仿宋_GB2312"/>
          <w:kern w:val="0"/>
          <w:sz w:val="32"/>
          <w:szCs w:val="32"/>
        </w:rPr>
        <w:t>/</w:t>
      </w:r>
      <w:r w:rsidRPr="00E84D81">
        <w:rPr>
          <w:rFonts w:eastAsia="仿宋_GB2312"/>
          <w:kern w:val="0"/>
          <w:sz w:val="32"/>
          <w:szCs w:val="32"/>
        </w:rPr>
        <w:t>上市后的临床研究资料、临床随访资料</w:t>
      </w:r>
      <w:r w:rsidRPr="00E84D81">
        <w:rPr>
          <w:rFonts w:eastAsia="仿宋_GB2312"/>
          <w:kern w:val="0"/>
          <w:sz w:val="32"/>
          <w:szCs w:val="32"/>
        </w:rPr>
        <w:t>/</w:t>
      </w:r>
      <w:r w:rsidRPr="00E84D81">
        <w:rPr>
          <w:rFonts w:eastAsia="仿宋_GB2312"/>
          <w:kern w:val="0"/>
          <w:sz w:val="32"/>
          <w:szCs w:val="32"/>
        </w:rPr>
        <w:t>文献以</w:t>
      </w:r>
      <w:r w:rsidRPr="00E84D81">
        <w:rPr>
          <w:rFonts w:eastAsia="仿宋_GB2312"/>
          <w:kern w:val="0"/>
          <w:sz w:val="32"/>
          <w:szCs w:val="32"/>
        </w:rPr>
        <w:lastRenderedPageBreak/>
        <w:t>及到目前的销量、抱怨、投诉及不良事件的记录、原因分析、处理方式及处理结果等。</w:t>
      </w:r>
    </w:p>
    <w:p w:rsidR="004E2B83" w:rsidRPr="00E84D81" w:rsidRDefault="00D4144A" w:rsidP="00E84D81">
      <w:pPr>
        <w:autoSpaceDE w:val="0"/>
        <w:autoSpaceDN w:val="0"/>
        <w:adjustRightInd w:val="0"/>
        <w:spacing w:line="520" w:lineRule="exact"/>
        <w:ind w:firstLineChars="200" w:firstLine="640"/>
        <w:outlineLvl w:val="0"/>
        <w:rPr>
          <w:rFonts w:eastAsia="黑体"/>
          <w:kern w:val="0"/>
          <w:sz w:val="32"/>
          <w:szCs w:val="32"/>
        </w:rPr>
      </w:pPr>
      <w:r w:rsidRPr="00E84D81">
        <w:rPr>
          <w:rFonts w:eastAsia="黑体"/>
          <w:kern w:val="0"/>
          <w:sz w:val="32"/>
          <w:szCs w:val="32"/>
        </w:rPr>
        <w:t>四、产品说明书</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结合申报产品的临床评价资料，说明书的制定需要注意以下内容：</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黑体"/>
          <w:kern w:val="0"/>
          <w:sz w:val="32"/>
          <w:szCs w:val="32"/>
        </w:rPr>
        <w:t>1</w:t>
      </w:r>
      <w:r w:rsidRPr="00E84D81">
        <w:rPr>
          <w:rFonts w:eastAsia="仿宋_GB2312"/>
          <w:kern w:val="0"/>
          <w:sz w:val="32"/>
          <w:szCs w:val="32"/>
        </w:rPr>
        <w:t>.</w:t>
      </w:r>
      <w:r w:rsidRPr="00E84D81">
        <w:rPr>
          <w:rFonts w:eastAsia="仿宋_GB2312"/>
          <w:kern w:val="0"/>
          <w:sz w:val="32"/>
          <w:szCs w:val="32"/>
        </w:rPr>
        <w:t>说明书中应包括申报产品上市前临床试验信息。</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临床试验信息一般包括临床试验目的、临床试验设计、受试人群、样本量、评价指标、临床试验的结果概述及结论（需重点说明不良事件的发生情况）等。</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2.</w:t>
      </w:r>
      <w:r w:rsidRPr="00E84D81">
        <w:rPr>
          <w:rFonts w:eastAsia="仿宋_GB2312"/>
          <w:kern w:val="0"/>
          <w:sz w:val="32"/>
          <w:szCs w:val="32"/>
        </w:rPr>
        <w:t>需注明</w:t>
      </w:r>
      <w:r w:rsidRPr="00E84D81">
        <w:rPr>
          <w:rFonts w:eastAsia="仿宋_GB2312"/>
          <w:kern w:val="0"/>
          <w:sz w:val="32"/>
          <w:szCs w:val="32"/>
        </w:rPr>
        <w:t>“</w:t>
      </w:r>
      <w:r w:rsidRPr="00E84D81">
        <w:rPr>
          <w:rFonts w:eastAsia="仿宋_GB2312"/>
          <w:kern w:val="0"/>
          <w:sz w:val="32"/>
          <w:szCs w:val="32"/>
        </w:rPr>
        <w:t>该产品仅限于在国家正式批准的医疗机构中由具有相关专业医师资格的人员，经生产厂家或其委托</w:t>
      </w:r>
      <w:r w:rsidRPr="00E84D81">
        <w:rPr>
          <w:rFonts w:eastAsia="仿宋_GB2312"/>
          <w:kern w:val="0"/>
          <w:sz w:val="32"/>
          <w:szCs w:val="32"/>
        </w:rPr>
        <w:t>/</w:t>
      </w:r>
      <w:r w:rsidRPr="00E84D81">
        <w:rPr>
          <w:rFonts w:eastAsia="仿宋_GB2312"/>
          <w:kern w:val="0"/>
          <w:sz w:val="32"/>
          <w:szCs w:val="32"/>
        </w:rPr>
        <w:t>指定机构的专业培训并获得培训合格证书后，严格按照产品使用说明书和相关诊疗指南的要求进行使用</w:t>
      </w:r>
      <w:r w:rsidRPr="00E84D81">
        <w:rPr>
          <w:rFonts w:eastAsia="仿宋_GB2312"/>
          <w:kern w:val="0"/>
          <w:sz w:val="32"/>
          <w:szCs w:val="32"/>
        </w:rPr>
        <w:t>”</w:t>
      </w:r>
      <w:r w:rsidRPr="00E84D81">
        <w:rPr>
          <w:rFonts w:eastAsia="仿宋_GB2312"/>
          <w:kern w:val="0"/>
          <w:sz w:val="32"/>
          <w:szCs w:val="32"/>
        </w:rPr>
        <w:t>。</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3</w:t>
      </w:r>
      <w:r w:rsidR="005B7FC9">
        <w:rPr>
          <w:rFonts w:eastAsia="仿宋_GB2312" w:hint="eastAsia"/>
          <w:kern w:val="0"/>
          <w:sz w:val="32"/>
          <w:szCs w:val="32"/>
        </w:rPr>
        <w:t>.</w:t>
      </w:r>
      <w:r w:rsidRPr="00E84D81">
        <w:rPr>
          <w:rFonts w:eastAsia="仿宋_GB2312"/>
          <w:kern w:val="0"/>
          <w:sz w:val="32"/>
          <w:szCs w:val="32"/>
        </w:rPr>
        <w:t>产品适用范围需与临床试验验证过的范围一致，需明确注射填充的具体解剖部位和适应证。</w:t>
      </w:r>
      <w:r w:rsidR="0057272D" w:rsidRPr="0057272D">
        <w:rPr>
          <w:rFonts w:eastAsia="仿宋_GB2312" w:hint="eastAsia"/>
          <w:kern w:val="0"/>
          <w:sz w:val="32"/>
          <w:szCs w:val="32"/>
        </w:rPr>
        <w:t>适应证需与临床评价资料一致（如：若临床试验入选标准仅为纠正鼻唇沟，则需按照纠正鼻唇沟申请而不是鼻唇部皱纹）；填充的解剖部位需与申请的适应证相对应。</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4.</w:t>
      </w:r>
      <w:r w:rsidRPr="00E84D81">
        <w:rPr>
          <w:rFonts w:eastAsia="仿宋_GB2312"/>
          <w:kern w:val="0"/>
          <w:sz w:val="32"/>
          <w:szCs w:val="32"/>
        </w:rPr>
        <w:t>产品建议使用剂量</w:t>
      </w:r>
      <w:r w:rsidRPr="00E84D81">
        <w:rPr>
          <w:rFonts w:eastAsia="仿宋_GB2312"/>
          <w:kern w:val="0"/>
          <w:sz w:val="32"/>
          <w:szCs w:val="32"/>
        </w:rPr>
        <w:t>/</w:t>
      </w:r>
      <w:r w:rsidRPr="00E84D81">
        <w:rPr>
          <w:rFonts w:eastAsia="仿宋_GB2312"/>
          <w:kern w:val="0"/>
          <w:sz w:val="32"/>
          <w:szCs w:val="32"/>
        </w:rPr>
        <w:t>频率需与</w:t>
      </w:r>
      <w:r w:rsidR="003E6A12">
        <w:rPr>
          <w:rFonts w:eastAsia="仿宋_GB2312" w:hint="eastAsia"/>
          <w:kern w:val="0"/>
          <w:sz w:val="32"/>
          <w:szCs w:val="32"/>
        </w:rPr>
        <w:t>临床前研究资料</w:t>
      </w:r>
      <w:r w:rsidRPr="00E84D81">
        <w:rPr>
          <w:rFonts w:eastAsia="仿宋_GB2312"/>
          <w:kern w:val="0"/>
          <w:sz w:val="32"/>
          <w:szCs w:val="32"/>
        </w:rPr>
        <w:t>和临床</w:t>
      </w:r>
      <w:r w:rsidR="003E6A12">
        <w:rPr>
          <w:rFonts w:eastAsia="仿宋_GB2312" w:hint="eastAsia"/>
          <w:kern w:val="0"/>
          <w:sz w:val="32"/>
          <w:szCs w:val="32"/>
        </w:rPr>
        <w:t>评价</w:t>
      </w:r>
      <w:r w:rsidRPr="00E84D81">
        <w:rPr>
          <w:rFonts w:eastAsia="仿宋_GB2312"/>
          <w:kern w:val="0"/>
          <w:sz w:val="32"/>
          <w:szCs w:val="32"/>
        </w:rPr>
        <w:t>资料一致。如果缺乏产品多次注射的支持性资料，则在说明书中明确</w:t>
      </w:r>
      <w:r w:rsidRPr="00E84D81">
        <w:rPr>
          <w:rFonts w:eastAsia="仿宋_GB2312"/>
          <w:kern w:val="0"/>
          <w:sz w:val="32"/>
          <w:szCs w:val="32"/>
        </w:rPr>
        <w:t>“</w:t>
      </w:r>
      <w:r w:rsidRPr="00E84D81">
        <w:rPr>
          <w:rFonts w:eastAsia="仿宋_GB2312"/>
          <w:kern w:val="0"/>
          <w:sz w:val="32"/>
          <w:szCs w:val="32"/>
        </w:rPr>
        <w:t>本产品进行多次注射的安全性未经验证</w:t>
      </w:r>
      <w:r w:rsidRPr="00E84D81">
        <w:rPr>
          <w:rFonts w:eastAsia="仿宋_GB2312"/>
          <w:kern w:val="0"/>
          <w:sz w:val="32"/>
          <w:szCs w:val="32"/>
        </w:rPr>
        <w:t>”</w:t>
      </w:r>
      <w:r w:rsidRPr="00E84D81">
        <w:rPr>
          <w:rFonts w:eastAsia="仿宋_GB2312"/>
          <w:kern w:val="0"/>
          <w:sz w:val="32"/>
          <w:szCs w:val="32"/>
        </w:rPr>
        <w:t>。</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5.</w:t>
      </w:r>
      <w:r w:rsidRPr="00E84D81">
        <w:rPr>
          <w:rFonts w:eastAsia="仿宋_GB2312"/>
          <w:kern w:val="0"/>
          <w:sz w:val="32"/>
          <w:szCs w:val="32"/>
        </w:rPr>
        <w:t>对于含有微粒的产品，需在产品说明书中说明该产品微粒大小（需与技术支持性资料一致）。对于最终可吸收产品，需说明多数患者维持有效的时间（需与临床试验中主要有效性指标一致）。对于含不可降解成分的产品，提示潜在的远期风险。</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lastRenderedPageBreak/>
        <w:t>6.</w:t>
      </w:r>
      <w:r w:rsidRPr="00E84D81">
        <w:rPr>
          <w:rFonts w:eastAsia="仿宋_GB2312"/>
          <w:kern w:val="0"/>
          <w:sz w:val="32"/>
          <w:szCs w:val="32"/>
        </w:rPr>
        <w:t>需提供临床所有可能产生的并发症及副作用信息，宜包括但不限于：硬结、瘙痒、疼痛、红肿、瘀青、淤血、瘀斑、感染、炎症反应、形成瘢痕、皮肤侵蚀、坏死、皮肤色素沉着、植入物移位或膨出、结节、肉芽肿、形成针眼、不对称、未达到预期纠正效果、过敏、发生丁达尔现象等，包括因注射不当而可能发生的血液循环障碍、面部神经损伤、晕厥、视力障碍（如失明等）等严重并发症，甚至死亡。对于临床试验中涉及的禁忌证或注意事项需在说明书中给予提示。</w:t>
      </w:r>
    </w:p>
    <w:p w:rsidR="004E2B83" w:rsidRPr="00E84D81" w:rsidRDefault="00E84D81"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7.</w:t>
      </w:r>
      <w:r w:rsidR="00D4144A" w:rsidRPr="00E84D81">
        <w:rPr>
          <w:rFonts w:eastAsia="仿宋_GB2312"/>
          <w:kern w:val="0"/>
          <w:sz w:val="32"/>
          <w:szCs w:val="32"/>
        </w:rPr>
        <w:t>产品注射前需充分告知患者可能的临床使用风险。如，</w:t>
      </w:r>
      <w:r w:rsidR="00D4144A" w:rsidRPr="00E84D81">
        <w:rPr>
          <w:rFonts w:eastAsia="仿宋_GB2312"/>
          <w:sz w:val="32"/>
          <w:szCs w:val="32"/>
        </w:rPr>
        <w:t>对于预期用于纠正鼻唇沟皱纹或额部动力性皱纹（包括眉间纹、额头纹、鱼尾纹）胶原蛋白类面部填充材料，考虑到此类产品可能引起一定的人体免疫反应，需提示可能发生的全身性免疫反应的风险；对于预期用于纠正鼻唇沟皱纹聚己内酯面部填充材料，考虑到其可能引发全身性反应，需提示可能发生的全身性皮疹、疼痛性硬性水肿、紫癜或荨麻疹样皮损、全身性炎症反应、全身性关节疼痛和活动范围受限的风险。</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8.</w:t>
      </w:r>
      <w:r w:rsidRPr="00E84D81">
        <w:rPr>
          <w:rFonts w:eastAsia="仿宋_GB2312"/>
          <w:kern w:val="0"/>
          <w:sz w:val="32"/>
          <w:szCs w:val="32"/>
        </w:rPr>
        <w:t>建议增加警示性文字</w:t>
      </w:r>
      <w:r w:rsidRPr="00E84D81">
        <w:rPr>
          <w:rFonts w:eastAsia="仿宋_GB2312"/>
          <w:kern w:val="0"/>
          <w:sz w:val="32"/>
          <w:szCs w:val="32"/>
        </w:rPr>
        <w:t>“</w:t>
      </w:r>
      <w:r w:rsidRPr="00E84D81">
        <w:rPr>
          <w:rFonts w:eastAsia="仿宋_GB2312"/>
          <w:kern w:val="0"/>
          <w:sz w:val="32"/>
          <w:szCs w:val="32"/>
        </w:rPr>
        <w:t>本产品不得用于适用范围批准之外的部位注射（如乳房等）</w:t>
      </w:r>
      <w:r w:rsidRPr="00E84D81">
        <w:rPr>
          <w:rFonts w:eastAsia="仿宋_GB2312"/>
          <w:kern w:val="0"/>
          <w:sz w:val="32"/>
          <w:szCs w:val="32"/>
        </w:rPr>
        <w:t>”</w:t>
      </w:r>
      <w:r w:rsidRPr="00E84D81">
        <w:rPr>
          <w:rFonts w:eastAsia="仿宋_GB2312"/>
          <w:kern w:val="0"/>
          <w:sz w:val="32"/>
          <w:szCs w:val="32"/>
        </w:rPr>
        <w:t>。</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9.</w:t>
      </w:r>
      <w:r w:rsidRPr="00E84D81">
        <w:rPr>
          <w:rFonts w:eastAsia="仿宋_GB2312"/>
          <w:kern w:val="0"/>
          <w:sz w:val="32"/>
          <w:szCs w:val="32"/>
        </w:rPr>
        <w:t>说明书中应明确产品用于成人。孕妇、哺乳期及备孕期妇女禁用。</w:t>
      </w:r>
    </w:p>
    <w:p w:rsidR="004E2B83" w:rsidRPr="00E84D81" w:rsidRDefault="00E84D81"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10.</w:t>
      </w:r>
      <w:r w:rsidR="00D4144A" w:rsidRPr="00E84D81">
        <w:rPr>
          <w:rFonts w:eastAsia="仿宋_GB2312"/>
          <w:kern w:val="0"/>
          <w:sz w:val="32"/>
          <w:szCs w:val="32"/>
        </w:rPr>
        <w:t>对于动物源的面部注射填充材料产品，应在说明书中明确产品使用前需进行皮试，并进行风险提示。</w:t>
      </w:r>
      <w:r w:rsidR="002B564B">
        <w:rPr>
          <w:rFonts w:eastAsia="仿宋_GB2312" w:hint="eastAsia"/>
          <w:kern w:val="0"/>
          <w:sz w:val="32"/>
          <w:szCs w:val="32"/>
        </w:rPr>
        <w:t>对于其他的面部注射填充产品，如有皮试必要，也需进行提示。</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11.</w:t>
      </w:r>
      <w:r w:rsidRPr="00E84D81">
        <w:rPr>
          <w:rFonts w:eastAsia="仿宋_GB2312"/>
          <w:kern w:val="0"/>
          <w:sz w:val="32"/>
          <w:szCs w:val="32"/>
        </w:rPr>
        <w:t>需明确使用应符合国内相关的临床诊疗规范和专家</w:t>
      </w:r>
      <w:r w:rsidRPr="00E84D81">
        <w:rPr>
          <w:rFonts w:eastAsia="仿宋_GB2312"/>
          <w:kern w:val="0"/>
          <w:sz w:val="32"/>
          <w:szCs w:val="32"/>
        </w:rPr>
        <w:lastRenderedPageBreak/>
        <w:t>共识，包括但不限于：尽量避免在已知有重要血管的解剖位置进行注射；选取合适的针头及注射手法，使用合适尺寸的锐针或钝针，避免在同一区域内多次穿刺；注射后及时按压止血；术中随时观察患者反应和局部皮肤的变化，如有异常及时停止注射。</w:t>
      </w:r>
    </w:p>
    <w:p w:rsidR="004E2B83" w:rsidRPr="00E84D81" w:rsidRDefault="00D4144A" w:rsidP="00E84D81">
      <w:pPr>
        <w:autoSpaceDE w:val="0"/>
        <w:autoSpaceDN w:val="0"/>
        <w:adjustRightInd w:val="0"/>
        <w:spacing w:line="520" w:lineRule="exact"/>
        <w:ind w:firstLineChars="200" w:firstLine="640"/>
        <w:outlineLvl w:val="0"/>
        <w:rPr>
          <w:rFonts w:eastAsia="黑体"/>
          <w:kern w:val="0"/>
          <w:sz w:val="32"/>
          <w:szCs w:val="32"/>
        </w:rPr>
      </w:pPr>
      <w:r w:rsidRPr="00E84D81">
        <w:rPr>
          <w:rFonts w:eastAsia="黑体"/>
          <w:kern w:val="0"/>
          <w:sz w:val="32"/>
          <w:szCs w:val="32"/>
        </w:rPr>
        <w:t>五、参考文献</w:t>
      </w:r>
    </w:p>
    <w:p w:rsidR="004E2B83" w:rsidRPr="00E84D81" w:rsidRDefault="00D4144A" w:rsidP="00E84D81">
      <w:pPr>
        <w:overflowPunct w:val="0"/>
        <w:spacing w:line="520" w:lineRule="exact"/>
        <w:ind w:firstLineChars="200" w:firstLine="640"/>
        <w:rPr>
          <w:rFonts w:eastAsia="仿宋_GB2312"/>
          <w:kern w:val="0"/>
          <w:sz w:val="32"/>
          <w:szCs w:val="32"/>
        </w:rPr>
      </w:pPr>
      <w:r w:rsidRPr="00E84D81">
        <w:rPr>
          <w:rFonts w:eastAsia="仿宋_GB2312"/>
          <w:kern w:val="0"/>
          <w:sz w:val="32"/>
          <w:szCs w:val="32"/>
        </w:rPr>
        <w:t>[1]</w:t>
      </w:r>
      <w:r w:rsidRPr="00E84D81">
        <w:rPr>
          <w:rFonts w:eastAsia="仿宋_GB2312"/>
          <w:kern w:val="0"/>
          <w:sz w:val="32"/>
          <w:szCs w:val="32"/>
        </w:rPr>
        <w:t>国家药品监督管理局</w:t>
      </w:r>
      <w:r w:rsidRPr="00E84D81">
        <w:rPr>
          <w:rFonts w:eastAsia="仿宋_GB2312"/>
          <w:kern w:val="0"/>
          <w:sz w:val="32"/>
          <w:szCs w:val="32"/>
        </w:rPr>
        <w:t xml:space="preserve"> </w:t>
      </w:r>
      <w:r w:rsidRPr="00E84D81">
        <w:rPr>
          <w:rFonts w:eastAsia="仿宋_GB2312"/>
          <w:bCs/>
          <w:sz w:val="32"/>
          <w:szCs w:val="32"/>
        </w:rPr>
        <w:t>国家卫生健康委</w:t>
      </w:r>
      <w:r w:rsidRPr="00E84D81">
        <w:rPr>
          <w:rFonts w:eastAsia="仿宋_GB2312"/>
          <w:bCs/>
          <w:sz w:val="32"/>
          <w:szCs w:val="32"/>
        </w:rPr>
        <w:t>.</w:t>
      </w:r>
      <w:r w:rsidRPr="00E84D81">
        <w:rPr>
          <w:rFonts w:eastAsia="仿宋_GB2312"/>
          <w:kern w:val="0"/>
          <w:sz w:val="32"/>
          <w:szCs w:val="32"/>
        </w:rPr>
        <w:t>医疗器械临床试验质量管理规范：国家药监局</w:t>
      </w:r>
      <w:r w:rsidRPr="00E84D81">
        <w:rPr>
          <w:rFonts w:eastAsia="仿宋_GB2312"/>
          <w:kern w:val="0"/>
          <w:sz w:val="32"/>
          <w:szCs w:val="32"/>
        </w:rPr>
        <w:t xml:space="preserve"> </w:t>
      </w:r>
      <w:r w:rsidRPr="00E84D81">
        <w:rPr>
          <w:rFonts w:eastAsia="仿宋_GB2312"/>
          <w:kern w:val="0"/>
          <w:sz w:val="32"/>
          <w:szCs w:val="32"/>
        </w:rPr>
        <w:t>国家卫生健康委关于发布《医疗器械临床试验质量管理规范》的公告</w:t>
      </w:r>
      <w:r w:rsidRPr="00E84D81">
        <w:rPr>
          <w:rFonts w:eastAsia="仿宋_GB2312"/>
          <w:kern w:val="0"/>
          <w:sz w:val="32"/>
          <w:szCs w:val="32"/>
        </w:rPr>
        <w:t>2022</w:t>
      </w:r>
      <w:r w:rsidRPr="00E84D81">
        <w:rPr>
          <w:rFonts w:eastAsia="仿宋_GB2312"/>
          <w:kern w:val="0"/>
          <w:sz w:val="32"/>
          <w:szCs w:val="32"/>
        </w:rPr>
        <w:t>年第</w:t>
      </w:r>
      <w:r w:rsidRPr="00E84D81">
        <w:rPr>
          <w:rFonts w:eastAsia="仿宋_GB2312"/>
          <w:kern w:val="0"/>
          <w:sz w:val="32"/>
          <w:szCs w:val="32"/>
        </w:rPr>
        <w:t>28</w:t>
      </w:r>
      <w:r w:rsidRPr="00E84D81">
        <w:rPr>
          <w:rFonts w:eastAsia="仿宋_GB2312"/>
          <w:kern w:val="0"/>
          <w:sz w:val="32"/>
          <w:szCs w:val="32"/>
        </w:rPr>
        <w:t>号</w:t>
      </w:r>
      <w:r w:rsidRPr="00E84D81">
        <w:rPr>
          <w:rFonts w:eastAsia="仿宋_GB2312"/>
          <w:kern w:val="0"/>
          <w:sz w:val="32"/>
          <w:szCs w:val="32"/>
        </w:rPr>
        <w:t>[Z].</w:t>
      </w:r>
    </w:p>
    <w:p w:rsidR="004E2B83" w:rsidRPr="00E84D81" w:rsidRDefault="00D4144A" w:rsidP="00E84D81">
      <w:pPr>
        <w:overflowPunct w:val="0"/>
        <w:spacing w:line="520" w:lineRule="exact"/>
        <w:ind w:firstLineChars="200" w:firstLine="640"/>
        <w:rPr>
          <w:rFonts w:eastAsia="仿宋_GB2312"/>
          <w:sz w:val="32"/>
          <w:szCs w:val="32"/>
        </w:rPr>
      </w:pPr>
      <w:r w:rsidRPr="00E84D81">
        <w:rPr>
          <w:rFonts w:eastAsia="仿宋_GB2312"/>
          <w:sz w:val="32"/>
          <w:szCs w:val="32"/>
        </w:rPr>
        <w:t>[2]</w:t>
      </w:r>
      <w:r w:rsidRPr="00E84D81">
        <w:rPr>
          <w:rFonts w:eastAsia="仿宋_GB2312"/>
          <w:sz w:val="32"/>
          <w:szCs w:val="32"/>
        </w:rPr>
        <w:t>国家药品监督管理局</w:t>
      </w:r>
      <w:r w:rsidRPr="00E84D81">
        <w:rPr>
          <w:rFonts w:eastAsia="仿宋_GB2312"/>
          <w:sz w:val="32"/>
          <w:szCs w:val="32"/>
        </w:rPr>
        <w:t>.</w:t>
      </w:r>
      <w:r w:rsidRPr="00E84D81">
        <w:rPr>
          <w:rFonts w:eastAsia="仿宋_GB2312"/>
          <w:sz w:val="32"/>
          <w:szCs w:val="32"/>
        </w:rPr>
        <w:t>医疗器械临床评价技术指导原则：国家药监局关于发布医疗器械临床评价技术指导原则等</w:t>
      </w:r>
      <w:r w:rsidRPr="00E84D81">
        <w:rPr>
          <w:rFonts w:eastAsia="仿宋_GB2312"/>
          <w:sz w:val="32"/>
          <w:szCs w:val="32"/>
        </w:rPr>
        <w:t>5</w:t>
      </w:r>
      <w:r w:rsidRPr="00E84D81">
        <w:rPr>
          <w:rFonts w:eastAsia="仿宋_GB2312"/>
          <w:sz w:val="32"/>
          <w:szCs w:val="32"/>
        </w:rPr>
        <w:t>项技术指导原则的通告</w:t>
      </w:r>
      <w:r w:rsidRPr="00E84D81">
        <w:rPr>
          <w:rFonts w:eastAsia="仿宋_GB2312"/>
          <w:sz w:val="32"/>
          <w:szCs w:val="32"/>
        </w:rPr>
        <w:t>2021</w:t>
      </w:r>
      <w:r w:rsidRPr="00E84D81">
        <w:rPr>
          <w:rFonts w:eastAsia="仿宋_GB2312"/>
          <w:sz w:val="32"/>
          <w:szCs w:val="32"/>
        </w:rPr>
        <w:t>年第</w:t>
      </w:r>
      <w:r w:rsidRPr="00E84D81">
        <w:rPr>
          <w:rFonts w:eastAsia="仿宋_GB2312"/>
          <w:sz w:val="32"/>
          <w:szCs w:val="32"/>
        </w:rPr>
        <w:t>73</w:t>
      </w:r>
      <w:r w:rsidRPr="00E84D81">
        <w:rPr>
          <w:rFonts w:eastAsia="仿宋_GB2312"/>
          <w:sz w:val="32"/>
          <w:szCs w:val="32"/>
        </w:rPr>
        <w:t>号</w:t>
      </w:r>
      <w:r w:rsidRPr="00E84D81">
        <w:rPr>
          <w:rFonts w:eastAsia="仿宋_GB2312"/>
          <w:sz w:val="32"/>
          <w:szCs w:val="32"/>
        </w:rPr>
        <w:t>[Z].</w:t>
      </w:r>
    </w:p>
    <w:p w:rsidR="004E2B83" w:rsidRPr="00E84D81" w:rsidRDefault="00D4144A" w:rsidP="00E84D81">
      <w:pPr>
        <w:overflowPunct w:val="0"/>
        <w:spacing w:line="520" w:lineRule="exact"/>
        <w:ind w:firstLineChars="200" w:firstLine="640"/>
        <w:rPr>
          <w:rFonts w:eastAsia="仿宋_GB2312"/>
          <w:sz w:val="32"/>
          <w:szCs w:val="32"/>
        </w:rPr>
      </w:pPr>
      <w:r w:rsidRPr="00E84D81">
        <w:rPr>
          <w:rFonts w:eastAsia="仿宋_GB2312"/>
          <w:sz w:val="32"/>
          <w:szCs w:val="32"/>
        </w:rPr>
        <w:t>[3]</w:t>
      </w:r>
      <w:r w:rsidRPr="00E84D81">
        <w:rPr>
          <w:rFonts w:eastAsia="仿宋_GB2312"/>
          <w:sz w:val="32"/>
          <w:szCs w:val="32"/>
        </w:rPr>
        <w:t>国家食品药品监督管理总局</w:t>
      </w:r>
      <w:r w:rsidRPr="00E84D81">
        <w:rPr>
          <w:rFonts w:eastAsia="仿宋_GB2312"/>
          <w:sz w:val="32"/>
          <w:szCs w:val="32"/>
        </w:rPr>
        <w:t>.</w:t>
      </w:r>
      <w:r w:rsidRPr="00E84D81">
        <w:rPr>
          <w:rFonts w:eastAsia="仿宋_GB2312"/>
          <w:kern w:val="0"/>
          <w:sz w:val="32"/>
          <w:szCs w:val="32"/>
        </w:rPr>
        <w:t xml:space="preserve"> </w:t>
      </w:r>
      <w:r w:rsidRPr="00E84D81">
        <w:rPr>
          <w:rFonts w:eastAsia="仿宋_GB2312"/>
          <w:kern w:val="0"/>
          <w:sz w:val="32"/>
          <w:szCs w:val="32"/>
        </w:rPr>
        <w:t>医疗器械临床试验设计指导原则</w:t>
      </w:r>
      <w:r w:rsidRPr="00E84D81">
        <w:rPr>
          <w:rFonts w:eastAsia="仿宋_GB2312"/>
          <w:sz w:val="32"/>
          <w:szCs w:val="32"/>
        </w:rPr>
        <w:t>：食品药品监管总局关于发布医疗器械临床试验设计指导原则的通告</w:t>
      </w:r>
      <w:r w:rsidRPr="00E84D81">
        <w:rPr>
          <w:rFonts w:eastAsia="仿宋_GB2312"/>
          <w:sz w:val="32"/>
          <w:szCs w:val="32"/>
        </w:rPr>
        <w:t>2018</w:t>
      </w:r>
      <w:r w:rsidRPr="00E84D81">
        <w:rPr>
          <w:rFonts w:eastAsia="仿宋_GB2312"/>
          <w:sz w:val="32"/>
          <w:szCs w:val="32"/>
        </w:rPr>
        <w:t>年第</w:t>
      </w:r>
      <w:r w:rsidRPr="00E84D81">
        <w:rPr>
          <w:rFonts w:eastAsia="仿宋_GB2312"/>
          <w:sz w:val="32"/>
          <w:szCs w:val="32"/>
        </w:rPr>
        <w:t>6</w:t>
      </w:r>
      <w:r w:rsidRPr="00E84D81">
        <w:rPr>
          <w:rFonts w:eastAsia="仿宋_GB2312"/>
          <w:sz w:val="32"/>
          <w:szCs w:val="32"/>
        </w:rPr>
        <w:t>号</w:t>
      </w:r>
      <w:r w:rsidRPr="00E84D81">
        <w:rPr>
          <w:rFonts w:eastAsia="仿宋_GB2312"/>
          <w:sz w:val="32"/>
          <w:szCs w:val="32"/>
        </w:rPr>
        <w:t>[Z].</w:t>
      </w:r>
    </w:p>
    <w:p w:rsidR="004E2B83" w:rsidRPr="00E84D81" w:rsidRDefault="00D4144A" w:rsidP="00E84D81">
      <w:pPr>
        <w:overflowPunct w:val="0"/>
        <w:spacing w:line="520" w:lineRule="exact"/>
        <w:ind w:firstLineChars="200" w:firstLine="640"/>
        <w:rPr>
          <w:rFonts w:eastAsia="仿宋_GB2312"/>
          <w:sz w:val="32"/>
          <w:szCs w:val="32"/>
        </w:rPr>
      </w:pPr>
      <w:r w:rsidRPr="00E84D81">
        <w:rPr>
          <w:rFonts w:eastAsia="仿宋_GB2312"/>
          <w:sz w:val="32"/>
          <w:szCs w:val="32"/>
        </w:rPr>
        <w:t>[4]</w:t>
      </w:r>
      <w:r w:rsidRPr="00E84D81">
        <w:rPr>
          <w:rFonts w:eastAsia="仿宋_GB2312"/>
          <w:sz w:val="32"/>
          <w:szCs w:val="32"/>
        </w:rPr>
        <w:t>国家食品药品监督管理总局</w:t>
      </w:r>
      <w:r w:rsidRPr="00E84D81">
        <w:rPr>
          <w:rFonts w:eastAsia="仿宋_GB2312"/>
          <w:sz w:val="32"/>
          <w:szCs w:val="32"/>
        </w:rPr>
        <w:t xml:space="preserve">. </w:t>
      </w:r>
      <w:r w:rsidRPr="00E84D81">
        <w:rPr>
          <w:rFonts w:eastAsia="仿宋_GB2312"/>
          <w:sz w:val="32"/>
          <w:szCs w:val="32"/>
        </w:rPr>
        <w:t>医疗器械分类目录</w:t>
      </w:r>
      <w:r w:rsidRPr="00E84D81">
        <w:rPr>
          <w:rFonts w:eastAsia="仿宋_GB2312"/>
          <w:sz w:val="32"/>
          <w:szCs w:val="32"/>
        </w:rPr>
        <w:t>:</w:t>
      </w:r>
      <w:r w:rsidRPr="00E84D81">
        <w:rPr>
          <w:rFonts w:eastAsia="仿宋_GB2312"/>
          <w:sz w:val="32"/>
          <w:szCs w:val="32"/>
        </w:rPr>
        <w:t>国家食品药品监督管理总局公告</w:t>
      </w:r>
      <w:r w:rsidRPr="00E84D81">
        <w:rPr>
          <w:rFonts w:eastAsia="仿宋_GB2312"/>
          <w:sz w:val="32"/>
          <w:szCs w:val="32"/>
        </w:rPr>
        <w:t>2017</w:t>
      </w:r>
      <w:r w:rsidRPr="00E84D81">
        <w:rPr>
          <w:rFonts w:eastAsia="仿宋_GB2312"/>
          <w:sz w:val="32"/>
          <w:szCs w:val="32"/>
        </w:rPr>
        <w:t>年第</w:t>
      </w:r>
      <w:r w:rsidRPr="00E84D81">
        <w:rPr>
          <w:rFonts w:eastAsia="仿宋_GB2312"/>
          <w:sz w:val="32"/>
          <w:szCs w:val="32"/>
        </w:rPr>
        <w:t>104</w:t>
      </w:r>
      <w:r w:rsidRPr="00E84D81">
        <w:rPr>
          <w:rFonts w:eastAsia="仿宋_GB2312"/>
          <w:sz w:val="32"/>
          <w:szCs w:val="32"/>
        </w:rPr>
        <w:t>号</w:t>
      </w:r>
      <w:r w:rsidRPr="00E84D81">
        <w:rPr>
          <w:rFonts w:eastAsia="仿宋_GB2312"/>
          <w:sz w:val="32"/>
          <w:szCs w:val="32"/>
        </w:rPr>
        <w:t>[Z].</w:t>
      </w:r>
    </w:p>
    <w:p w:rsidR="004E2B83" w:rsidRPr="00E84D81" w:rsidRDefault="00D4144A" w:rsidP="00E84D81">
      <w:pPr>
        <w:overflowPunct w:val="0"/>
        <w:spacing w:line="520" w:lineRule="exact"/>
        <w:ind w:firstLineChars="200" w:firstLine="640"/>
        <w:rPr>
          <w:rFonts w:eastAsia="仿宋_GB2312"/>
          <w:sz w:val="32"/>
          <w:szCs w:val="32"/>
        </w:rPr>
      </w:pPr>
      <w:r w:rsidRPr="00E84D81">
        <w:rPr>
          <w:rFonts w:eastAsia="仿宋_GB2312"/>
          <w:sz w:val="32"/>
          <w:szCs w:val="32"/>
        </w:rPr>
        <w:t>[5]</w:t>
      </w:r>
      <w:r w:rsidRPr="00E84D81">
        <w:rPr>
          <w:rFonts w:eastAsia="仿宋_GB2312"/>
          <w:sz w:val="32"/>
          <w:szCs w:val="32"/>
        </w:rPr>
        <w:t>国家药品监督管理局</w:t>
      </w:r>
      <w:r w:rsidRPr="00E84D81">
        <w:rPr>
          <w:rFonts w:eastAsia="仿宋_GB2312"/>
          <w:sz w:val="32"/>
          <w:szCs w:val="32"/>
        </w:rPr>
        <w:t>.</w:t>
      </w:r>
      <w:r w:rsidRPr="00E84D81">
        <w:rPr>
          <w:rFonts w:eastAsia="微软雅黑"/>
          <w:sz w:val="19"/>
          <w:szCs w:val="19"/>
          <w:shd w:val="clear" w:color="auto" w:fill="FFFFFF"/>
        </w:rPr>
        <w:t xml:space="preserve"> </w:t>
      </w:r>
      <w:r w:rsidRPr="00E84D81">
        <w:rPr>
          <w:rFonts w:eastAsia="仿宋_GB2312"/>
          <w:sz w:val="32"/>
          <w:szCs w:val="32"/>
        </w:rPr>
        <w:t>决策是否开展医疗器械临床试验技术指导原则：国家药监局关于发布医疗器械临床评价技术指导原则等</w:t>
      </w:r>
      <w:r w:rsidRPr="00E84D81">
        <w:rPr>
          <w:rFonts w:eastAsia="仿宋_GB2312"/>
          <w:sz w:val="32"/>
          <w:szCs w:val="32"/>
        </w:rPr>
        <w:t>5</w:t>
      </w:r>
      <w:r w:rsidRPr="00E84D81">
        <w:rPr>
          <w:rFonts w:eastAsia="仿宋_GB2312"/>
          <w:sz w:val="32"/>
          <w:szCs w:val="32"/>
        </w:rPr>
        <w:t>项技术指导原则的通告</w:t>
      </w:r>
      <w:r w:rsidRPr="00E84D81">
        <w:rPr>
          <w:rFonts w:eastAsia="仿宋_GB2312"/>
          <w:sz w:val="32"/>
          <w:szCs w:val="32"/>
        </w:rPr>
        <w:t>2021</w:t>
      </w:r>
      <w:r w:rsidRPr="00E84D81">
        <w:rPr>
          <w:rFonts w:eastAsia="仿宋_GB2312"/>
          <w:sz w:val="32"/>
          <w:szCs w:val="32"/>
        </w:rPr>
        <w:t>年第</w:t>
      </w:r>
      <w:r w:rsidRPr="00E84D81">
        <w:rPr>
          <w:rFonts w:eastAsia="仿宋_GB2312"/>
          <w:sz w:val="32"/>
          <w:szCs w:val="32"/>
        </w:rPr>
        <w:t>73</w:t>
      </w:r>
      <w:r w:rsidRPr="00E84D81">
        <w:rPr>
          <w:rFonts w:eastAsia="仿宋_GB2312"/>
          <w:sz w:val="32"/>
          <w:szCs w:val="32"/>
        </w:rPr>
        <w:t>号</w:t>
      </w:r>
      <w:r w:rsidRPr="00E84D81">
        <w:rPr>
          <w:rFonts w:eastAsia="仿宋_GB2312"/>
          <w:sz w:val="32"/>
          <w:szCs w:val="32"/>
        </w:rPr>
        <w:t>[Z].</w:t>
      </w:r>
    </w:p>
    <w:p w:rsidR="004E2B83" w:rsidRPr="00E84D81" w:rsidRDefault="00D4144A" w:rsidP="00E84D81">
      <w:pPr>
        <w:overflowPunct w:val="0"/>
        <w:spacing w:line="520" w:lineRule="exact"/>
        <w:ind w:firstLineChars="200" w:firstLine="640"/>
        <w:rPr>
          <w:rFonts w:eastAsia="仿宋_GB2312"/>
          <w:sz w:val="32"/>
          <w:szCs w:val="32"/>
        </w:rPr>
      </w:pPr>
      <w:r w:rsidRPr="00E84D81">
        <w:rPr>
          <w:rFonts w:eastAsia="仿宋_GB2312"/>
          <w:sz w:val="32"/>
          <w:szCs w:val="32"/>
        </w:rPr>
        <w:t>[6]</w:t>
      </w:r>
      <w:r w:rsidRPr="00E84D81">
        <w:rPr>
          <w:rFonts w:eastAsia="仿宋_GB2312"/>
          <w:sz w:val="32"/>
          <w:szCs w:val="32"/>
        </w:rPr>
        <w:t>国家药品监督管理局</w:t>
      </w:r>
      <w:r w:rsidRPr="00E84D81">
        <w:rPr>
          <w:rFonts w:eastAsia="仿宋_GB2312"/>
          <w:sz w:val="32"/>
          <w:szCs w:val="32"/>
        </w:rPr>
        <w:t xml:space="preserve">. </w:t>
      </w:r>
      <w:r w:rsidRPr="00E84D81">
        <w:rPr>
          <w:rFonts w:eastAsia="仿宋_GB2312"/>
          <w:sz w:val="32"/>
          <w:szCs w:val="32"/>
        </w:rPr>
        <w:t>医疗器械注册申报临床评价报告技术指导原则：国家药监局关于发布医疗器械临床评价技术指导原则等</w:t>
      </w:r>
      <w:r w:rsidRPr="00E84D81">
        <w:rPr>
          <w:rFonts w:eastAsia="仿宋_GB2312"/>
          <w:sz w:val="32"/>
          <w:szCs w:val="32"/>
        </w:rPr>
        <w:t>5</w:t>
      </w:r>
      <w:r w:rsidRPr="00E84D81">
        <w:rPr>
          <w:rFonts w:eastAsia="仿宋_GB2312"/>
          <w:sz w:val="32"/>
          <w:szCs w:val="32"/>
        </w:rPr>
        <w:t>项技术指导原则的通告</w:t>
      </w:r>
      <w:r w:rsidRPr="00E84D81">
        <w:rPr>
          <w:rFonts w:eastAsia="仿宋_GB2312"/>
          <w:sz w:val="32"/>
          <w:szCs w:val="32"/>
        </w:rPr>
        <w:t>2021</w:t>
      </w:r>
      <w:r w:rsidRPr="00E84D81">
        <w:rPr>
          <w:rFonts w:eastAsia="仿宋_GB2312"/>
          <w:sz w:val="32"/>
          <w:szCs w:val="32"/>
        </w:rPr>
        <w:t>年第</w:t>
      </w:r>
      <w:r w:rsidRPr="00E84D81">
        <w:rPr>
          <w:rFonts w:eastAsia="仿宋_GB2312"/>
          <w:sz w:val="32"/>
          <w:szCs w:val="32"/>
        </w:rPr>
        <w:t>73</w:t>
      </w:r>
      <w:r w:rsidRPr="00E84D81">
        <w:rPr>
          <w:rFonts w:eastAsia="仿宋_GB2312"/>
          <w:sz w:val="32"/>
          <w:szCs w:val="32"/>
        </w:rPr>
        <w:t>号</w:t>
      </w:r>
      <w:r w:rsidRPr="00E84D81">
        <w:rPr>
          <w:rFonts w:eastAsia="仿宋_GB2312"/>
          <w:sz w:val="32"/>
          <w:szCs w:val="32"/>
        </w:rPr>
        <w:t>[Z].</w:t>
      </w:r>
    </w:p>
    <w:p w:rsidR="004E2B83" w:rsidRPr="00E84D81" w:rsidRDefault="00D4144A" w:rsidP="00E84D81">
      <w:pPr>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[7]</w:t>
      </w:r>
      <w:r w:rsidRPr="00E84D81">
        <w:rPr>
          <w:rFonts w:eastAsia="仿宋_GB2312"/>
          <w:kern w:val="0"/>
          <w:sz w:val="32"/>
          <w:szCs w:val="32"/>
        </w:rPr>
        <w:t>国家食品药品监督管理总局</w:t>
      </w:r>
      <w:r w:rsidRPr="00E84D81">
        <w:rPr>
          <w:rFonts w:eastAsia="仿宋_GB2312"/>
          <w:kern w:val="0"/>
          <w:sz w:val="32"/>
          <w:szCs w:val="32"/>
        </w:rPr>
        <w:t>.</w:t>
      </w:r>
      <w:r w:rsidRPr="00E84D81">
        <w:rPr>
          <w:rFonts w:eastAsia="仿宋_GB2312"/>
          <w:kern w:val="0"/>
          <w:sz w:val="32"/>
          <w:szCs w:val="32"/>
        </w:rPr>
        <w:t>接受医疗器械境外临床试验数据技术指导原则：</w:t>
      </w:r>
      <w:r w:rsidRPr="00E84D81">
        <w:rPr>
          <w:rFonts w:eastAsia="仿宋_GB2312"/>
          <w:sz w:val="32"/>
          <w:szCs w:val="32"/>
        </w:rPr>
        <w:t>食品药品监管总局关于发布接受医</w:t>
      </w:r>
      <w:r w:rsidRPr="00E84D81">
        <w:rPr>
          <w:rFonts w:eastAsia="仿宋_GB2312"/>
          <w:sz w:val="32"/>
          <w:szCs w:val="32"/>
        </w:rPr>
        <w:lastRenderedPageBreak/>
        <w:t>疗器械境外临床试验数据技术指导原则的通告</w:t>
      </w:r>
      <w:r w:rsidRPr="00E84D81">
        <w:rPr>
          <w:rFonts w:eastAsia="仿宋_GB2312"/>
          <w:sz w:val="32"/>
          <w:szCs w:val="32"/>
        </w:rPr>
        <w:t>2018</w:t>
      </w:r>
      <w:r w:rsidRPr="00E84D81">
        <w:rPr>
          <w:rFonts w:eastAsia="仿宋_GB2312"/>
          <w:sz w:val="32"/>
          <w:szCs w:val="32"/>
        </w:rPr>
        <w:t>年第</w:t>
      </w:r>
      <w:r w:rsidRPr="00E84D81">
        <w:rPr>
          <w:rFonts w:eastAsia="仿宋_GB2312"/>
          <w:sz w:val="32"/>
          <w:szCs w:val="32"/>
        </w:rPr>
        <w:t>13</w:t>
      </w:r>
      <w:r w:rsidRPr="00E84D81">
        <w:rPr>
          <w:rFonts w:eastAsia="仿宋_GB2312"/>
          <w:sz w:val="32"/>
          <w:szCs w:val="32"/>
        </w:rPr>
        <w:t>号</w:t>
      </w:r>
      <w:r w:rsidRPr="00E84D81">
        <w:rPr>
          <w:rFonts w:eastAsia="仿宋_GB2312"/>
          <w:sz w:val="32"/>
          <w:szCs w:val="32"/>
        </w:rPr>
        <w:t>[Z].</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[8]</w:t>
      </w:r>
      <w:r w:rsidRPr="00E84D81">
        <w:rPr>
          <w:rFonts w:eastAsia="仿宋_GB2312"/>
          <w:kern w:val="0"/>
          <w:sz w:val="32"/>
          <w:szCs w:val="32"/>
        </w:rPr>
        <w:t>国家药品监督管理局</w:t>
      </w:r>
      <w:r w:rsidRPr="00E84D81">
        <w:rPr>
          <w:rFonts w:eastAsia="仿宋_GB2312"/>
          <w:kern w:val="0"/>
          <w:sz w:val="32"/>
          <w:szCs w:val="32"/>
        </w:rPr>
        <w:t>.</w:t>
      </w:r>
      <w:r w:rsidRPr="00E84D81">
        <w:rPr>
          <w:rFonts w:eastAsia="仿宋_GB2312"/>
          <w:kern w:val="0"/>
          <w:sz w:val="32"/>
          <w:szCs w:val="32"/>
        </w:rPr>
        <w:t>透明质酸钠类面部注射填充材料临床试验指导原则：关于发布人工晶状体等</w:t>
      </w:r>
      <w:r w:rsidRPr="00E84D81">
        <w:rPr>
          <w:rFonts w:eastAsia="仿宋_GB2312"/>
          <w:kern w:val="0"/>
          <w:sz w:val="32"/>
          <w:szCs w:val="32"/>
        </w:rPr>
        <w:t>3</w:t>
      </w:r>
      <w:r w:rsidRPr="00E84D81">
        <w:rPr>
          <w:rFonts w:eastAsia="仿宋_GB2312"/>
          <w:kern w:val="0"/>
          <w:sz w:val="32"/>
          <w:szCs w:val="32"/>
        </w:rPr>
        <w:t>项临床试验指导原则的通告</w:t>
      </w:r>
      <w:r w:rsidRPr="00E84D81">
        <w:rPr>
          <w:rFonts w:eastAsia="仿宋_GB2312"/>
          <w:kern w:val="0"/>
          <w:sz w:val="32"/>
          <w:szCs w:val="32"/>
        </w:rPr>
        <w:t>2019</w:t>
      </w:r>
      <w:r w:rsidRPr="00E84D81">
        <w:rPr>
          <w:rFonts w:eastAsia="仿宋_GB2312"/>
          <w:kern w:val="0"/>
          <w:sz w:val="32"/>
          <w:szCs w:val="32"/>
        </w:rPr>
        <w:t>年第</w:t>
      </w:r>
      <w:r w:rsidRPr="00E84D81">
        <w:rPr>
          <w:rFonts w:eastAsia="仿宋_GB2312"/>
          <w:kern w:val="0"/>
          <w:sz w:val="32"/>
          <w:szCs w:val="32"/>
        </w:rPr>
        <w:t>13</w:t>
      </w:r>
      <w:r w:rsidRPr="00E84D81">
        <w:rPr>
          <w:rFonts w:eastAsia="仿宋_GB2312"/>
          <w:kern w:val="0"/>
          <w:sz w:val="32"/>
          <w:szCs w:val="32"/>
        </w:rPr>
        <w:t>号</w:t>
      </w:r>
      <w:r w:rsidRPr="00E84D81">
        <w:rPr>
          <w:rFonts w:eastAsia="仿宋_GB2312"/>
          <w:kern w:val="0"/>
          <w:sz w:val="32"/>
          <w:szCs w:val="32"/>
        </w:rPr>
        <w:t>[Z].</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[9]</w:t>
      </w:r>
      <w:r w:rsidRPr="00E84D81">
        <w:rPr>
          <w:rFonts w:eastAsia="仿宋_GB2312"/>
          <w:kern w:val="0"/>
          <w:sz w:val="32"/>
          <w:szCs w:val="32"/>
        </w:rPr>
        <w:t>国家食品药品监督管理总局</w:t>
      </w:r>
      <w:r w:rsidRPr="00E84D81">
        <w:rPr>
          <w:rFonts w:eastAsia="仿宋_GB2312"/>
          <w:kern w:val="0"/>
          <w:sz w:val="32"/>
          <w:szCs w:val="32"/>
        </w:rPr>
        <w:t xml:space="preserve">. </w:t>
      </w:r>
      <w:r w:rsidRPr="00E84D81">
        <w:rPr>
          <w:rFonts w:eastAsia="仿宋_GB2312"/>
          <w:kern w:val="0"/>
          <w:sz w:val="32"/>
          <w:szCs w:val="32"/>
        </w:rPr>
        <w:t>透明质酸钠类面部注射填充材料注册技术审查指导原则：国家食品药品监督管理总局关于发布可吸收止血产品等</w:t>
      </w:r>
      <w:r w:rsidRPr="00E84D81">
        <w:rPr>
          <w:rFonts w:eastAsia="仿宋_GB2312"/>
          <w:kern w:val="0"/>
          <w:sz w:val="32"/>
          <w:szCs w:val="32"/>
        </w:rPr>
        <w:t>3</w:t>
      </w:r>
      <w:r w:rsidRPr="00E84D81">
        <w:rPr>
          <w:rFonts w:eastAsia="仿宋_GB2312"/>
          <w:kern w:val="0"/>
          <w:sz w:val="32"/>
          <w:szCs w:val="32"/>
        </w:rPr>
        <w:t>个医疗器械注册技术审查指导原则的通告</w:t>
      </w:r>
      <w:r w:rsidRPr="00E84D81">
        <w:rPr>
          <w:rFonts w:eastAsia="仿宋_GB2312"/>
          <w:kern w:val="0"/>
          <w:sz w:val="32"/>
          <w:szCs w:val="32"/>
        </w:rPr>
        <w:t>2016</w:t>
      </w:r>
      <w:r w:rsidRPr="00E84D81">
        <w:rPr>
          <w:rFonts w:eastAsia="仿宋_GB2312"/>
          <w:kern w:val="0"/>
          <w:sz w:val="32"/>
          <w:szCs w:val="32"/>
        </w:rPr>
        <w:t>年第</w:t>
      </w:r>
      <w:r w:rsidRPr="00E84D81">
        <w:rPr>
          <w:rFonts w:eastAsia="仿宋_GB2312"/>
          <w:kern w:val="0"/>
          <w:sz w:val="32"/>
          <w:szCs w:val="32"/>
        </w:rPr>
        <w:t>7</w:t>
      </w:r>
      <w:r w:rsidRPr="00E84D81">
        <w:rPr>
          <w:rFonts w:eastAsia="仿宋_GB2312"/>
          <w:kern w:val="0"/>
          <w:sz w:val="32"/>
          <w:szCs w:val="32"/>
        </w:rPr>
        <w:t>号</w:t>
      </w:r>
      <w:r w:rsidRPr="00E84D81">
        <w:rPr>
          <w:rFonts w:eastAsia="仿宋_GB2312"/>
          <w:kern w:val="0"/>
          <w:sz w:val="32"/>
          <w:szCs w:val="32"/>
        </w:rPr>
        <w:t>[Z].</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[10] U.S. FOOD &amp; FOOD ADMINISTRATION. Medical Devices: Dermal Fillers (Soft Tissue Fillers)[EB/OL]. (2023-07-06)[2023-09-21].https://www.fda.gov/medical-devices/aesthetic-cosmetic-devices/dermal-fillers-soft-tissue-fillers#uses.</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[11]U.S. FOOD &amp; FOOD ADMINISTRATION. FDA Executive Summary General Issues Panel Meeting on Dermal Fillers.</w:t>
      </w:r>
    </w:p>
    <w:p w:rsidR="004E2B83" w:rsidRPr="00E84D81" w:rsidRDefault="00D4144A" w:rsidP="00E84D81">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[12]YY/T 0962-20</w:t>
      </w:r>
      <w:r w:rsidR="009D31FF">
        <w:rPr>
          <w:rFonts w:eastAsia="仿宋_GB2312" w:hint="eastAsia"/>
          <w:kern w:val="0"/>
          <w:sz w:val="32"/>
          <w:szCs w:val="32"/>
        </w:rPr>
        <w:t>21</w:t>
      </w:r>
      <w:r w:rsidR="00E84D81" w:rsidRPr="00E84D81">
        <w:rPr>
          <w:rFonts w:eastAsia="仿宋_GB2312"/>
          <w:kern w:val="0"/>
          <w:sz w:val="32"/>
          <w:szCs w:val="32"/>
        </w:rPr>
        <w:t>，</w:t>
      </w:r>
      <w:r w:rsidRPr="00E84D81">
        <w:rPr>
          <w:rFonts w:eastAsia="仿宋_GB2312"/>
          <w:kern w:val="0"/>
          <w:sz w:val="32"/>
          <w:szCs w:val="32"/>
        </w:rPr>
        <w:t>整形手术用交联透明质酸钠凝胶</w:t>
      </w:r>
      <w:r w:rsidRPr="00E84D81">
        <w:rPr>
          <w:rFonts w:eastAsia="仿宋_GB2312"/>
          <w:kern w:val="0"/>
          <w:sz w:val="32"/>
          <w:szCs w:val="32"/>
        </w:rPr>
        <w:t>[S].</w:t>
      </w:r>
    </w:p>
    <w:p w:rsidR="004E2B83" w:rsidRDefault="00D4144A" w:rsidP="00251A39">
      <w:pPr>
        <w:overflowPunct w:val="0"/>
        <w:autoSpaceDE w:val="0"/>
        <w:autoSpaceDN w:val="0"/>
        <w:adjustRightInd w:val="0"/>
        <w:spacing w:line="520" w:lineRule="exact"/>
        <w:ind w:firstLineChars="200" w:firstLine="640"/>
        <w:rPr>
          <w:rFonts w:eastAsia="仿宋_GB2312"/>
          <w:kern w:val="0"/>
          <w:sz w:val="32"/>
          <w:szCs w:val="32"/>
        </w:rPr>
      </w:pPr>
      <w:r w:rsidRPr="00E84D81">
        <w:rPr>
          <w:rFonts w:eastAsia="仿宋_GB2312"/>
          <w:kern w:val="0"/>
          <w:sz w:val="32"/>
          <w:szCs w:val="32"/>
        </w:rPr>
        <w:t>[13]</w:t>
      </w:r>
      <w:r w:rsidRPr="00E84D81">
        <w:rPr>
          <w:rFonts w:eastAsia="微软雅黑"/>
          <w:sz w:val="19"/>
          <w:szCs w:val="19"/>
          <w:shd w:val="clear" w:color="auto" w:fill="FFFFFF"/>
        </w:rPr>
        <w:t xml:space="preserve"> </w:t>
      </w:r>
      <w:r w:rsidRPr="00E84D81">
        <w:rPr>
          <w:rFonts w:eastAsia="仿宋_GB2312"/>
          <w:kern w:val="0"/>
          <w:sz w:val="32"/>
          <w:szCs w:val="32"/>
        </w:rPr>
        <w:t>YY/T 1888-2023</w:t>
      </w:r>
      <w:r w:rsidR="00E84D81" w:rsidRPr="00E84D81">
        <w:rPr>
          <w:rFonts w:eastAsia="仿宋_GB2312"/>
          <w:kern w:val="0"/>
          <w:sz w:val="32"/>
          <w:szCs w:val="32"/>
        </w:rPr>
        <w:t>，</w:t>
      </w:r>
      <w:r w:rsidRPr="00E84D81">
        <w:rPr>
          <w:rFonts w:eastAsia="仿宋_GB2312"/>
          <w:kern w:val="0"/>
          <w:sz w:val="32"/>
          <w:szCs w:val="32"/>
        </w:rPr>
        <w:t>重组人源化胶原蛋白</w:t>
      </w:r>
      <w:r w:rsidRPr="00E84D81">
        <w:rPr>
          <w:rFonts w:eastAsia="仿宋_GB2312"/>
          <w:kern w:val="0"/>
          <w:sz w:val="32"/>
          <w:szCs w:val="32"/>
        </w:rPr>
        <w:t>[S].</w:t>
      </w:r>
    </w:p>
    <w:p w:rsidR="009D31FF" w:rsidRPr="00251A39" w:rsidRDefault="009D31FF" w:rsidP="009D31FF">
      <w:pPr>
        <w:overflowPunct w:val="0"/>
        <w:autoSpaceDE w:val="0"/>
        <w:autoSpaceDN w:val="0"/>
        <w:adjustRightInd w:val="0"/>
        <w:spacing w:line="520" w:lineRule="exact"/>
        <w:ind w:firstLineChars="200" w:firstLine="640"/>
        <w:rPr>
          <w:rFonts w:eastAsia="仿宋_GB2312"/>
          <w:kern w:val="0"/>
          <w:sz w:val="32"/>
          <w:szCs w:val="32"/>
        </w:rPr>
      </w:pPr>
      <w:r>
        <w:rPr>
          <w:rFonts w:eastAsia="仿宋_GB2312" w:hint="eastAsia"/>
          <w:kern w:val="0"/>
          <w:sz w:val="32"/>
          <w:szCs w:val="32"/>
        </w:rPr>
        <w:t>[14]</w:t>
      </w:r>
      <w:r w:rsidRPr="009D31FF">
        <w:rPr>
          <w:rFonts w:eastAsia="仿宋_GB2312" w:hint="eastAsia"/>
          <w:kern w:val="0"/>
          <w:sz w:val="32"/>
          <w:szCs w:val="32"/>
        </w:rPr>
        <w:t>YY/T 0661-2017</w:t>
      </w:r>
      <w:r>
        <w:rPr>
          <w:rFonts w:eastAsia="仿宋_GB2312" w:hint="eastAsia"/>
          <w:kern w:val="0"/>
          <w:sz w:val="32"/>
          <w:szCs w:val="32"/>
        </w:rPr>
        <w:t>，</w:t>
      </w:r>
      <w:r w:rsidRPr="009D31FF">
        <w:rPr>
          <w:rFonts w:eastAsia="仿宋_GB2312" w:hint="eastAsia"/>
          <w:kern w:val="0"/>
          <w:sz w:val="32"/>
          <w:szCs w:val="32"/>
        </w:rPr>
        <w:t>外科植入物半结晶型聚丙交酯聚合物和共聚物树脂</w:t>
      </w:r>
      <w:r w:rsidRPr="009D31FF">
        <w:rPr>
          <w:rFonts w:eastAsia="仿宋_GB2312" w:hint="eastAsia"/>
          <w:kern w:val="0"/>
          <w:sz w:val="32"/>
          <w:szCs w:val="32"/>
        </w:rPr>
        <w:t>[S].</w:t>
      </w:r>
    </w:p>
    <w:sectPr w:rsidR="009D31FF" w:rsidRPr="00251A39" w:rsidSect="00DF3E72">
      <w:footerReference w:type="default" r:id="rId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04" w:rsidRDefault="003B3F04" w:rsidP="005543A9">
      <w:r>
        <w:separator/>
      </w:r>
    </w:p>
  </w:endnote>
  <w:endnote w:type="continuationSeparator" w:id="0">
    <w:p w:rsidR="003B3F04" w:rsidRDefault="003B3F04" w:rsidP="0055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934224"/>
      <w:docPartObj>
        <w:docPartGallery w:val="Page Numbers (Bottom of Page)"/>
        <w:docPartUnique/>
      </w:docPartObj>
    </w:sdtPr>
    <w:sdtEndPr>
      <w:rPr>
        <w:sz w:val="28"/>
        <w:szCs w:val="28"/>
      </w:rPr>
    </w:sdtEndPr>
    <w:sdtContent>
      <w:p w:rsidR="00F82488" w:rsidRPr="00F82488" w:rsidRDefault="00F82488">
        <w:pPr>
          <w:pStyle w:val="a7"/>
          <w:jc w:val="right"/>
          <w:rPr>
            <w:sz w:val="28"/>
            <w:szCs w:val="28"/>
          </w:rPr>
        </w:pPr>
        <w:r>
          <w:rPr>
            <w:rFonts w:hint="eastAsia"/>
          </w:rPr>
          <w:t>-</w:t>
        </w:r>
        <w:r w:rsidRPr="00F82488">
          <w:rPr>
            <w:sz w:val="28"/>
            <w:szCs w:val="28"/>
          </w:rPr>
          <w:fldChar w:fldCharType="begin"/>
        </w:r>
        <w:r w:rsidRPr="00F82488">
          <w:rPr>
            <w:sz w:val="28"/>
            <w:szCs w:val="28"/>
          </w:rPr>
          <w:instrText>PAGE   \* MERGEFORMAT</w:instrText>
        </w:r>
        <w:r w:rsidRPr="00F82488">
          <w:rPr>
            <w:sz w:val="28"/>
            <w:szCs w:val="28"/>
          </w:rPr>
          <w:fldChar w:fldCharType="separate"/>
        </w:r>
        <w:r w:rsidRPr="00F82488">
          <w:rPr>
            <w:noProof/>
            <w:sz w:val="28"/>
            <w:szCs w:val="28"/>
            <w:lang w:val="zh-CN"/>
          </w:rPr>
          <w:t>4</w:t>
        </w:r>
        <w:r w:rsidRPr="00F82488">
          <w:rPr>
            <w:sz w:val="28"/>
            <w:szCs w:val="28"/>
          </w:rPr>
          <w:fldChar w:fldCharType="end"/>
        </w:r>
        <w:r>
          <w:rPr>
            <w:rFonts w:hint="eastAsia"/>
            <w:sz w:val="28"/>
            <w:szCs w:val="28"/>
          </w:rPr>
          <w:t>-</w:t>
        </w:r>
      </w:p>
    </w:sdtContent>
  </w:sdt>
  <w:p w:rsidR="00F82488" w:rsidRDefault="00F824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04" w:rsidRDefault="003B3F04" w:rsidP="005543A9">
      <w:r>
        <w:separator/>
      </w:r>
    </w:p>
  </w:footnote>
  <w:footnote w:type="continuationSeparator" w:id="0">
    <w:p w:rsidR="003B3F04" w:rsidRDefault="003B3F04" w:rsidP="0055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97863"/>
    <w:multiLevelType w:val="multilevel"/>
    <w:tmpl w:val="65897863"/>
    <w:lvl w:ilvl="0">
      <w:start w:val="1"/>
      <w:numFmt w:val="decimal"/>
      <w:pStyle w:val="1"/>
      <w:lvlText w:val="%1."/>
      <w:lvlJc w:val="left"/>
      <w:pPr>
        <w:tabs>
          <w:tab w:val="left" w:pos="720"/>
        </w:tabs>
        <w:ind w:left="720" w:hanging="720"/>
      </w:pPr>
      <w:rPr>
        <w:rFonts w:hint="default"/>
      </w:rPr>
    </w:lvl>
    <w:lvl w:ilvl="1">
      <w:start w:val="1"/>
      <w:numFmt w:val="decimal"/>
      <w:pStyle w:val="2"/>
      <w:lvlText w:val="%1.%2"/>
      <w:lvlJc w:val="left"/>
      <w:pPr>
        <w:tabs>
          <w:tab w:val="left" w:pos="720"/>
        </w:tabs>
        <w:ind w:left="720" w:hanging="720"/>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080"/>
        </w:tabs>
        <w:ind w:left="1080" w:hanging="108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440"/>
        </w:tabs>
        <w:ind w:left="1440" w:hanging="1440"/>
      </w:pPr>
      <w:rPr>
        <w:rFonts w:hint="default"/>
      </w:rPr>
    </w:lvl>
    <w:lvl w:ilvl="6">
      <w:start w:val="1"/>
      <w:numFmt w:val="none"/>
      <w:lvlRestart w:val="0"/>
      <w:pStyle w:val="7"/>
      <w:lvlText w:val="%1.%2.%3.%4.%5.%6.%7"/>
      <w:lvlJc w:val="left"/>
      <w:pPr>
        <w:tabs>
          <w:tab w:val="left" w:pos="1296"/>
        </w:tabs>
        <w:ind w:left="1296" w:hanging="1296"/>
      </w:pPr>
      <w:rPr>
        <w:rFonts w:hint="default"/>
      </w:rPr>
    </w:lvl>
    <w:lvl w:ilvl="7">
      <w:start w:val="1"/>
      <w:numFmt w:val="none"/>
      <w:lvlRestart w:val="0"/>
      <w:pStyle w:val="8"/>
      <w:lvlText w:val="%1.%2.%3.%4.%5.%6.%7.%8"/>
      <w:lvlJc w:val="left"/>
      <w:pPr>
        <w:tabs>
          <w:tab w:val="left" w:pos="1440"/>
        </w:tabs>
        <w:ind w:left="1440" w:hanging="1440"/>
      </w:pPr>
      <w:rPr>
        <w:rFonts w:hint="default"/>
      </w:rPr>
    </w:lvl>
    <w:lvl w:ilvl="8">
      <w:start w:val="1"/>
      <w:numFmt w:val="none"/>
      <w:lvlRestart w:val="0"/>
      <w:pStyle w:val="9"/>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7CE5"/>
    <w:rsid w:val="000207CC"/>
    <w:rsid w:val="00020BFD"/>
    <w:rsid w:val="00033C6F"/>
    <w:rsid w:val="00034CFD"/>
    <w:rsid w:val="00035013"/>
    <w:rsid w:val="00035758"/>
    <w:rsid w:val="000357A1"/>
    <w:rsid w:val="00035848"/>
    <w:rsid w:val="000426C4"/>
    <w:rsid w:val="00043A97"/>
    <w:rsid w:val="00046EFF"/>
    <w:rsid w:val="000518C0"/>
    <w:rsid w:val="00057DEB"/>
    <w:rsid w:val="00082E5E"/>
    <w:rsid w:val="00087BCC"/>
    <w:rsid w:val="00092D64"/>
    <w:rsid w:val="00094A45"/>
    <w:rsid w:val="000A2CD3"/>
    <w:rsid w:val="000A717F"/>
    <w:rsid w:val="000A7EF7"/>
    <w:rsid w:val="000B7C15"/>
    <w:rsid w:val="000B7FA2"/>
    <w:rsid w:val="000C741D"/>
    <w:rsid w:val="000D6A79"/>
    <w:rsid w:val="000D71E7"/>
    <w:rsid w:val="000E7F2D"/>
    <w:rsid w:val="000F627F"/>
    <w:rsid w:val="000F6808"/>
    <w:rsid w:val="00101E6A"/>
    <w:rsid w:val="001033E2"/>
    <w:rsid w:val="00103806"/>
    <w:rsid w:val="00105349"/>
    <w:rsid w:val="001058C5"/>
    <w:rsid w:val="001118C5"/>
    <w:rsid w:val="00112BE5"/>
    <w:rsid w:val="001206DA"/>
    <w:rsid w:val="00133A90"/>
    <w:rsid w:val="0013656A"/>
    <w:rsid w:val="0014464A"/>
    <w:rsid w:val="00145D42"/>
    <w:rsid w:val="001527C2"/>
    <w:rsid w:val="00152E7D"/>
    <w:rsid w:val="001561D9"/>
    <w:rsid w:val="001732DD"/>
    <w:rsid w:val="00173D9E"/>
    <w:rsid w:val="0018170F"/>
    <w:rsid w:val="0018382E"/>
    <w:rsid w:val="0019003E"/>
    <w:rsid w:val="00190F33"/>
    <w:rsid w:val="00191C92"/>
    <w:rsid w:val="0019655E"/>
    <w:rsid w:val="00196649"/>
    <w:rsid w:val="001A2F04"/>
    <w:rsid w:val="001A3B44"/>
    <w:rsid w:val="001B0571"/>
    <w:rsid w:val="001C3D4A"/>
    <w:rsid w:val="001C4216"/>
    <w:rsid w:val="001D1027"/>
    <w:rsid w:val="001E3A97"/>
    <w:rsid w:val="001E67FE"/>
    <w:rsid w:val="001F4278"/>
    <w:rsid w:val="001F5E84"/>
    <w:rsid w:val="002008EB"/>
    <w:rsid w:val="00202190"/>
    <w:rsid w:val="00205A78"/>
    <w:rsid w:val="002133E2"/>
    <w:rsid w:val="0021353B"/>
    <w:rsid w:val="0021737F"/>
    <w:rsid w:val="0023217B"/>
    <w:rsid w:val="00235CD5"/>
    <w:rsid w:val="00251A39"/>
    <w:rsid w:val="002660CB"/>
    <w:rsid w:val="0026693F"/>
    <w:rsid w:val="00272528"/>
    <w:rsid w:val="002764DB"/>
    <w:rsid w:val="00276855"/>
    <w:rsid w:val="0028025A"/>
    <w:rsid w:val="002953EA"/>
    <w:rsid w:val="002B0781"/>
    <w:rsid w:val="002B55BD"/>
    <w:rsid w:val="002B564B"/>
    <w:rsid w:val="002C312A"/>
    <w:rsid w:val="002C73EB"/>
    <w:rsid w:val="002D3029"/>
    <w:rsid w:val="002E09EA"/>
    <w:rsid w:val="002F78EE"/>
    <w:rsid w:val="002F7F0D"/>
    <w:rsid w:val="003007DF"/>
    <w:rsid w:val="00301C05"/>
    <w:rsid w:val="00303180"/>
    <w:rsid w:val="00307A36"/>
    <w:rsid w:val="00311C39"/>
    <w:rsid w:val="003132A5"/>
    <w:rsid w:val="003413FA"/>
    <w:rsid w:val="00357E87"/>
    <w:rsid w:val="0037533C"/>
    <w:rsid w:val="003829BA"/>
    <w:rsid w:val="003918F2"/>
    <w:rsid w:val="003A02EC"/>
    <w:rsid w:val="003A42E4"/>
    <w:rsid w:val="003B3F04"/>
    <w:rsid w:val="003B6F37"/>
    <w:rsid w:val="003C13C9"/>
    <w:rsid w:val="003C5205"/>
    <w:rsid w:val="003D55AC"/>
    <w:rsid w:val="003D7833"/>
    <w:rsid w:val="003E09A1"/>
    <w:rsid w:val="003E6A12"/>
    <w:rsid w:val="003F138C"/>
    <w:rsid w:val="003F311D"/>
    <w:rsid w:val="003F5085"/>
    <w:rsid w:val="003F65A5"/>
    <w:rsid w:val="004048BE"/>
    <w:rsid w:val="004069CD"/>
    <w:rsid w:val="0041765E"/>
    <w:rsid w:val="00421AEA"/>
    <w:rsid w:val="00426F14"/>
    <w:rsid w:val="004349D6"/>
    <w:rsid w:val="00450D4D"/>
    <w:rsid w:val="004549C3"/>
    <w:rsid w:val="00454C6E"/>
    <w:rsid w:val="00455CB3"/>
    <w:rsid w:val="00463F48"/>
    <w:rsid w:val="0047117F"/>
    <w:rsid w:val="004742B5"/>
    <w:rsid w:val="0048289E"/>
    <w:rsid w:val="0048323A"/>
    <w:rsid w:val="00487863"/>
    <w:rsid w:val="00491BFC"/>
    <w:rsid w:val="00497F9A"/>
    <w:rsid w:val="004A05C0"/>
    <w:rsid w:val="004A27DB"/>
    <w:rsid w:val="004B4CC9"/>
    <w:rsid w:val="004B7B23"/>
    <w:rsid w:val="004C1D05"/>
    <w:rsid w:val="004C1D78"/>
    <w:rsid w:val="004C7212"/>
    <w:rsid w:val="004D678C"/>
    <w:rsid w:val="004D6BD3"/>
    <w:rsid w:val="004E2B83"/>
    <w:rsid w:val="004E3D08"/>
    <w:rsid w:val="004E779B"/>
    <w:rsid w:val="004F7D94"/>
    <w:rsid w:val="005022AC"/>
    <w:rsid w:val="005026EE"/>
    <w:rsid w:val="005046E3"/>
    <w:rsid w:val="00526A30"/>
    <w:rsid w:val="005424D9"/>
    <w:rsid w:val="00545BA4"/>
    <w:rsid w:val="005543A9"/>
    <w:rsid w:val="00556295"/>
    <w:rsid w:val="00562A37"/>
    <w:rsid w:val="00564E0E"/>
    <w:rsid w:val="00567DAA"/>
    <w:rsid w:val="005706ED"/>
    <w:rsid w:val="0057272D"/>
    <w:rsid w:val="00573FCD"/>
    <w:rsid w:val="00575AF3"/>
    <w:rsid w:val="005813EB"/>
    <w:rsid w:val="00584BDE"/>
    <w:rsid w:val="00585E14"/>
    <w:rsid w:val="005862E5"/>
    <w:rsid w:val="00591A4C"/>
    <w:rsid w:val="00591B91"/>
    <w:rsid w:val="0059751E"/>
    <w:rsid w:val="005A0117"/>
    <w:rsid w:val="005A6D28"/>
    <w:rsid w:val="005B7FC9"/>
    <w:rsid w:val="005D0D44"/>
    <w:rsid w:val="005D13DE"/>
    <w:rsid w:val="005D7030"/>
    <w:rsid w:val="005E6BA0"/>
    <w:rsid w:val="005E6CCE"/>
    <w:rsid w:val="005F34B9"/>
    <w:rsid w:val="00601416"/>
    <w:rsid w:val="006023B5"/>
    <w:rsid w:val="00604A97"/>
    <w:rsid w:val="00615917"/>
    <w:rsid w:val="0062561A"/>
    <w:rsid w:val="006275B5"/>
    <w:rsid w:val="00627B4C"/>
    <w:rsid w:val="00627FB1"/>
    <w:rsid w:val="00633EBD"/>
    <w:rsid w:val="006411C7"/>
    <w:rsid w:val="00644031"/>
    <w:rsid w:val="006445F8"/>
    <w:rsid w:val="006510E7"/>
    <w:rsid w:val="00655FEC"/>
    <w:rsid w:val="00656A90"/>
    <w:rsid w:val="00674F06"/>
    <w:rsid w:val="006851CC"/>
    <w:rsid w:val="00686B86"/>
    <w:rsid w:val="006905B1"/>
    <w:rsid w:val="00697238"/>
    <w:rsid w:val="00697DD4"/>
    <w:rsid w:val="006B284C"/>
    <w:rsid w:val="006C0D65"/>
    <w:rsid w:val="006C3C4B"/>
    <w:rsid w:val="006D019C"/>
    <w:rsid w:val="006D4AFB"/>
    <w:rsid w:val="006E7080"/>
    <w:rsid w:val="0071446E"/>
    <w:rsid w:val="0073371F"/>
    <w:rsid w:val="00733E45"/>
    <w:rsid w:val="0073509F"/>
    <w:rsid w:val="007407E0"/>
    <w:rsid w:val="00741E88"/>
    <w:rsid w:val="00742D59"/>
    <w:rsid w:val="00753682"/>
    <w:rsid w:val="00754260"/>
    <w:rsid w:val="0075495E"/>
    <w:rsid w:val="00761FA5"/>
    <w:rsid w:val="007642A6"/>
    <w:rsid w:val="007709BD"/>
    <w:rsid w:val="00783CC5"/>
    <w:rsid w:val="007843F0"/>
    <w:rsid w:val="007B44D3"/>
    <w:rsid w:val="007B5E6B"/>
    <w:rsid w:val="007C2490"/>
    <w:rsid w:val="007C329E"/>
    <w:rsid w:val="007C383D"/>
    <w:rsid w:val="007D0A5F"/>
    <w:rsid w:val="007D47BA"/>
    <w:rsid w:val="007E1727"/>
    <w:rsid w:val="007E628C"/>
    <w:rsid w:val="007F3693"/>
    <w:rsid w:val="00800E9B"/>
    <w:rsid w:val="00801706"/>
    <w:rsid w:val="0080286D"/>
    <w:rsid w:val="00802A73"/>
    <w:rsid w:val="008047CA"/>
    <w:rsid w:val="008049B8"/>
    <w:rsid w:val="00810284"/>
    <w:rsid w:val="00825E9F"/>
    <w:rsid w:val="00840873"/>
    <w:rsid w:val="00842FE9"/>
    <w:rsid w:val="00850DFD"/>
    <w:rsid w:val="00863A64"/>
    <w:rsid w:val="00863C9B"/>
    <w:rsid w:val="00865815"/>
    <w:rsid w:val="008741A7"/>
    <w:rsid w:val="00874EC1"/>
    <w:rsid w:val="00880012"/>
    <w:rsid w:val="008A1713"/>
    <w:rsid w:val="008A22FF"/>
    <w:rsid w:val="008A723A"/>
    <w:rsid w:val="008B578D"/>
    <w:rsid w:val="008C116E"/>
    <w:rsid w:val="008C2AD8"/>
    <w:rsid w:val="008C311A"/>
    <w:rsid w:val="008D0D7A"/>
    <w:rsid w:val="00902093"/>
    <w:rsid w:val="0090731C"/>
    <w:rsid w:val="00914B08"/>
    <w:rsid w:val="00917251"/>
    <w:rsid w:val="00925754"/>
    <w:rsid w:val="0092638E"/>
    <w:rsid w:val="009439AB"/>
    <w:rsid w:val="009553AB"/>
    <w:rsid w:val="00955DEF"/>
    <w:rsid w:val="00962E11"/>
    <w:rsid w:val="00964988"/>
    <w:rsid w:val="009674AB"/>
    <w:rsid w:val="00973527"/>
    <w:rsid w:val="00983412"/>
    <w:rsid w:val="009951E9"/>
    <w:rsid w:val="00996F14"/>
    <w:rsid w:val="009D015D"/>
    <w:rsid w:val="009D31FF"/>
    <w:rsid w:val="009E017D"/>
    <w:rsid w:val="009E5975"/>
    <w:rsid w:val="009E7184"/>
    <w:rsid w:val="009F73D6"/>
    <w:rsid w:val="009F77DE"/>
    <w:rsid w:val="00A00C90"/>
    <w:rsid w:val="00A03623"/>
    <w:rsid w:val="00A04DC4"/>
    <w:rsid w:val="00A10712"/>
    <w:rsid w:val="00A10BFA"/>
    <w:rsid w:val="00A14A58"/>
    <w:rsid w:val="00A1708A"/>
    <w:rsid w:val="00A22BE5"/>
    <w:rsid w:val="00A25C92"/>
    <w:rsid w:val="00A42171"/>
    <w:rsid w:val="00A42B26"/>
    <w:rsid w:val="00A45B73"/>
    <w:rsid w:val="00A470B9"/>
    <w:rsid w:val="00A6711E"/>
    <w:rsid w:val="00A72C8E"/>
    <w:rsid w:val="00A73DB1"/>
    <w:rsid w:val="00A84AB4"/>
    <w:rsid w:val="00A90109"/>
    <w:rsid w:val="00A93C56"/>
    <w:rsid w:val="00AA50A2"/>
    <w:rsid w:val="00AB37A8"/>
    <w:rsid w:val="00AC62DF"/>
    <w:rsid w:val="00AD0802"/>
    <w:rsid w:val="00AD263A"/>
    <w:rsid w:val="00AF466C"/>
    <w:rsid w:val="00B005F3"/>
    <w:rsid w:val="00B02A11"/>
    <w:rsid w:val="00B203AC"/>
    <w:rsid w:val="00B213B6"/>
    <w:rsid w:val="00B26605"/>
    <w:rsid w:val="00B536BA"/>
    <w:rsid w:val="00B6774C"/>
    <w:rsid w:val="00B73DCC"/>
    <w:rsid w:val="00B85756"/>
    <w:rsid w:val="00B877D9"/>
    <w:rsid w:val="00B97027"/>
    <w:rsid w:val="00B97AC4"/>
    <w:rsid w:val="00BA3D67"/>
    <w:rsid w:val="00BA7810"/>
    <w:rsid w:val="00BB76BB"/>
    <w:rsid w:val="00BC2991"/>
    <w:rsid w:val="00BC3743"/>
    <w:rsid w:val="00BC3BA3"/>
    <w:rsid w:val="00BC4BC5"/>
    <w:rsid w:val="00BC7C19"/>
    <w:rsid w:val="00BD085E"/>
    <w:rsid w:val="00BD34AF"/>
    <w:rsid w:val="00BE0728"/>
    <w:rsid w:val="00BE0F6E"/>
    <w:rsid w:val="00BE21BC"/>
    <w:rsid w:val="00BE42CE"/>
    <w:rsid w:val="00BE62C8"/>
    <w:rsid w:val="00BF381B"/>
    <w:rsid w:val="00C01638"/>
    <w:rsid w:val="00C0656F"/>
    <w:rsid w:val="00C12C49"/>
    <w:rsid w:val="00C139AA"/>
    <w:rsid w:val="00C24779"/>
    <w:rsid w:val="00C253A8"/>
    <w:rsid w:val="00C31644"/>
    <w:rsid w:val="00C333A2"/>
    <w:rsid w:val="00C3649D"/>
    <w:rsid w:val="00C37CE5"/>
    <w:rsid w:val="00C42139"/>
    <w:rsid w:val="00C45313"/>
    <w:rsid w:val="00C562F7"/>
    <w:rsid w:val="00C577BC"/>
    <w:rsid w:val="00C60234"/>
    <w:rsid w:val="00C606F0"/>
    <w:rsid w:val="00C61207"/>
    <w:rsid w:val="00C7075F"/>
    <w:rsid w:val="00C71604"/>
    <w:rsid w:val="00C80B57"/>
    <w:rsid w:val="00C81D27"/>
    <w:rsid w:val="00C90780"/>
    <w:rsid w:val="00C91FB3"/>
    <w:rsid w:val="00C94543"/>
    <w:rsid w:val="00CA3AB7"/>
    <w:rsid w:val="00CA4AE9"/>
    <w:rsid w:val="00CA5B54"/>
    <w:rsid w:val="00CB77B4"/>
    <w:rsid w:val="00CE116B"/>
    <w:rsid w:val="00CE4A2E"/>
    <w:rsid w:val="00CE54A9"/>
    <w:rsid w:val="00CE6B2F"/>
    <w:rsid w:val="00CE7BAF"/>
    <w:rsid w:val="00CF1A59"/>
    <w:rsid w:val="00CF6C3C"/>
    <w:rsid w:val="00D01811"/>
    <w:rsid w:val="00D04C1F"/>
    <w:rsid w:val="00D268F0"/>
    <w:rsid w:val="00D4144A"/>
    <w:rsid w:val="00D4311E"/>
    <w:rsid w:val="00D46705"/>
    <w:rsid w:val="00D4785C"/>
    <w:rsid w:val="00D50871"/>
    <w:rsid w:val="00D52C4F"/>
    <w:rsid w:val="00D65DAD"/>
    <w:rsid w:val="00D720EE"/>
    <w:rsid w:val="00D76472"/>
    <w:rsid w:val="00D77656"/>
    <w:rsid w:val="00D80DE5"/>
    <w:rsid w:val="00D84C2F"/>
    <w:rsid w:val="00DA040F"/>
    <w:rsid w:val="00DB7832"/>
    <w:rsid w:val="00DE38FA"/>
    <w:rsid w:val="00DE625F"/>
    <w:rsid w:val="00DF3E72"/>
    <w:rsid w:val="00DF5567"/>
    <w:rsid w:val="00E06482"/>
    <w:rsid w:val="00E15056"/>
    <w:rsid w:val="00E15F29"/>
    <w:rsid w:val="00E1742A"/>
    <w:rsid w:val="00E208D7"/>
    <w:rsid w:val="00E22B52"/>
    <w:rsid w:val="00E35B77"/>
    <w:rsid w:val="00E371AE"/>
    <w:rsid w:val="00E37EC1"/>
    <w:rsid w:val="00E53644"/>
    <w:rsid w:val="00E61A25"/>
    <w:rsid w:val="00E73A88"/>
    <w:rsid w:val="00E76CE0"/>
    <w:rsid w:val="00E772BA"/>
    <w:rsid w:val="00E77348"/>
    <w:rsid w:val="00E80DCB"/>
    <w:rsid w:val="00E84D81"/>
    <w:rsid w:val="00E85205"/>
    <w:rsid w:val="00E8559C"/>
    <w:rsid w:val="00E958D7"/>
    <w:rsid w:val="00EA19E2"/>
    <w:rsid w:val="00EA5DE6"/>
    <w:rsid w:val="00EA6268"/>
    <w:rsid w:val="00EC2BFA"/>
    <w:rsid w:val="00ED3833"/>
    <w:rsid w:val="00EE2F25"/>
    <w:rsid w:val="00F122C8"/>
    <w:rsid w:val="00F14C5B"/>
    <w:rsid w:val="00F1525A"/>
    <w:rsid w:val="00F34A8D"/>
    <w:rsid w:val="00F35E17"/>
    <w:rsid w:val="00F37658"/>
    <w:rsid w:val="00F44676"/>
    <w:rsid w:val="00F45EF2"/>
    <w:rsid w:val="00F54F69"/>
    <w:rsid w:val="00F6106A"/>
    <w:rsid w:val="00F619B4"/>
    <w:rsid w:val="00F62823"/>
    <w:rsid w:val="00F74BF3"/>
    <w:rsid w:val="00F76381"/>
    <w:rsid w:val="00F80E56"/>
    <w:rsid w:val="00F81967"/>
    <w:rsid w:val="00F82488"/>
    <w:rsid w:val="00F82EB7"/>
    <w:rsid w:val="00F8676E"/>
    <w:rsid w:val="00F965EB"/>
    <w:rsid w:val="00F96BAA"/>
    <w:rsid w:val="00FA5C3E"/>
    <w:rsid w:val="00FB08C4"/>
    <w:rsid w:val="00FB5904"/>
    <w:rsid w:val="00FC113B"/>
    <w:rsid w:val="00FC5D51"/>
    <w:rsid w:val="00FD399E"/>
    <w:rsid w:val="00FD4FFF"/>
    <w:rsid w:val="0FB85CE8"/>
    <w:rsid w:val="16A51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141A"/>
  <w15:docId w15:val="{93D0454C-D43B-43C4-ADA6-7165964D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E72"/>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DF3E72"/>
    <w:pPr>
      <w:keepNext/>
      <w:keepLines/>
      <w:widowControl/>
      <w:numPr>
        <w:numId w:val="1"/>
      </w:numPr>
      <w:tabs>
        <w:tab w:val="clear" w:pos="720"/>
        <w:tab w:val="left" w:pos="1411"/>
      </w:tabs>
      <w:spacing w:before="120" w:after="120" w:line="300" w:lineRule="auto"/>
      <w:ind w:left="1411" w:hanging="1411"/>
      <w:jc w:val="left"/>
      <w:outlineLvl w:val="0"/>
    </w:pPr>
    <w:rPr>
      <w:rFonts w:eastAsia="等线"/>
      <w:b/>
      <w:kern w:val="28"/>
      <w:sz w:val="28"/>
      <w:szCs w:val="28"/>
      <w:lang w:eastAsia="ja-JP"/>
    </w:rPr>
  </w:style>
  <w:style w:type="paragraph" w:styleId="2">
    <w:name w:val="heading 2"/>
    <w:basedOn w:val="1"/>
    <w:next w:val="a"/>
    <w:link w:val="20"/>
    <w:qFormat/>
    <w:rsid w:val="00DF3E72"/>
    <w:pPr>
      <w:numPr>
        <w:ilvl w:val="1"/>
      </w:numPr>
      <w:tabs>
        <w:tab w:val="clear" w:pos="1411"/>
        <w:tab w:val="left" w:pos="1404"/>
      </w:tabs>
      <w:ind w:left="1411" w:hanging="1411"/>
      <w:outlineLvl w:val="1"/>
    </w:pPr>
  </w:style>
  <w:style w:type="paragraph" w:styleId="3">
    <w:name w:val="heading 3"/>
    <w:basedOn w:val="1"/>
    <w:next w:val="a"/>
    <w:link w:val="30"/>
    <w:qFormat/>
    <w:rsid w:val="00DF3E72"/>
    <w:pPr>
      <w:numPr>
        <w:ilvl w:val="2"/>
      </w:numPr>
      <w:ind w:left="1411" w:hanging="1411"/>
      <w:outlineLvl w:val="2"/>
    </w:pPr>
  </w:style>
  <w:style w:type="paragraph" w:styleId="4">
    <w:name w:val="heading 4"/>
    <w:basedOn w:val="1"/>
    <w:next w:val="a"/>
    <w:link w:val="40"/>
    <w:qFormat/>
    <w:rsid w:val="00DF3E72"/>
    <w:pPr>
      <w:numPr>
        <w:ilvl w:val="3"/>
      </w:numPr>
      <w:ind w:left="1411" w:hanging="1411"/>
      <w:outlineLvl w:val="3"/>
    </w:pPr>
  </w:style>
  <w:style w:type="paragraph" w:styleId="5">
    <w:name w:val="heading 5"/>
    <w:basedOn w:val="1"/>
    <w:next w:val="a"/>
    <w:link w:val="50"/>
    <w:qFormat/>
    <w:rsid w:val="00DF3E72"/>
    <w:pPr>
      <w:numPr>
        <w:ilvl w:val="4"/>
      </w:numPr>
      <w:tabs>
        <w:tab w:val="clear" w:pos="1411"/>
        <w:tab w:val="left" w:pos="1872"/>
      </w:tabs>
      <w:ind w:left="1872" w:hanging="1872"/>
      <w:outlineLvl w:val="4"/>
    </w:pPr>
  </w:style>
  <w:style w:type="paragraph" w:styleId="6">
    <w:name w:val="heading 6"/>
    <w:basedOn w:val="1"/>
    <w:next w:val="a"/>
    <w:link w:val="60"/>
    <w:qFormat/>
    <w:rsid w:val="00DF3E72"/>
    <w:pPr>
      <w:numPr>
        <w:ilvl w:val="5"/>
      </w:numPr>
      <w:tabs>
        <w:tab w:val="clear" w:pos="1411"/>
        <w:tab w:val="left" w:pos="1872"/>
      </w:tabs>
      <w:ind w:left="1872" w:hanging="1872"/>
      <w:outlineLvl w:val="5"/>
    </w:pPr>
  </w:style>
  <w:style w:type="paragraph" w:styleId="7">
    <w:name w:val="heading 7"/>
    <w:basedOn w:val="1"/>
    <w:next w:val="a"/>
    <w:link w:val="70"/>
    <w:qFormat/>
    <w:rsid w:val="00DF3E72"/>
    <w:pPr>
      <w:numPr>
        <w:ilvl w:val="6"/>
      </w:numPr>
      <w:tabs>
        <w:tab w:val="clear" w:pos="1411"/>
        <w:tab w:val="left" w:pos="1872"/>
      </w:tabs>
      <w:ind w:left="1872" w:hanging="1872"/>
      <w:outlineLvl w:val="6"/>
    </w:pPr>
  </w:style>
  <w:style w:type="paragraph" w:styleId="8">
    <w:name w:val="heading 8"/>
    <w:basedOn w:val="1"/>
    <w:next w:val="a"/>
    <w:link w:val="80"/>
    <w:qFormat/>
    <w:rsid w:val="00DF3E72"/>
    <w:pPr>
      <w:numPr>
        <w:ilvl w:val="7"/>
      </w:numPr>
      <w:tabs>
        <w:tab w:val="clear" w:pos="1411"/>
        <w:tab w:val="left" w:pos="1872"/>
      </w:tabs>
      <w:ind w:left="1872" w:hanging="1872"/>
      <w:outlineLvl w:val="7"/>
    </w:pPr>
  </w:style>
  <w:style w:type="paragraph" w:styleId="9">
    <w:name w:val="heading 9"/>
    <w:basedOn w:val="1"/>
    <w:next w:val="a"/>
    <w:link w:val="90"/>
    <w:qFormat/>
    <w:rsid w:val="00DF3E72"/>
    <w:pPr>
      <w:numPr>
        <w:ilvl w:val="8"/>
      </w:numPr>
      <w:tabs>
        <w:tab w:val="clear" w:pos="1411"/>
        <w:tab w:val="left" w:pos="1872"/>
      </w:tabs>
      <w:ind w:left="1872" w:hanging="187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DF3E72"/>
    <w:pPr>
      <w:jc w:val="left"/>
    </w:pPr>
  </w:style>
  <w:style w:type="paragraph" w:styleId="a5">
    <w:name w:val="Balloon Text"/>
    <w:basedOn w:val="a"/>
    <w:link w:val="a6"/>
    <w:uiPriority w:val="99"/>
    <w:semiHidden/>
    <w:unhideWhenUsed/>
    <w:qFormat/>
    <w:rsid w:val="00DF3E72"/>
    <w:rPr>
      <w:sz w:val="18"/>
      <w:szCs w:val="18"/>
    </w:rPr>
  </w:style>
  <w:style w:type="paragraph" w:styleId="a7">
    <w:name w:val="footer"/>
    <w:basedOn w:val="a"/>
    <w:link w:val="a8"/>
    <w:uiPriority w:val="99"/>
    <w:unhideWhenUsed/>
    <w:rsid w:val="00DF3E7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DF3E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rsid w:val="00DF3E72"/>
    <w:rPr>
      <w:b/>
      <w:bCs/>
    </w:rPr>
  </w:style>
  <w:style w:type="character" w:styleId="ad">
    <w:name w:val="line number"/>
    <w:basedOn w:val="a0"/>
    <w:uiPriority w:val="99"/>
    <w:semiHidden/>
    <w:unhideWhenUsed/>
    <w:qFormat/>
    <w:rsid w:val="00DF3E72"/>
  </w:style>
  <w:style w:type="character" w:styleId="ae">
    <w:name w:val="annotation reference"/>
    <w:basedOn w:val="a0"/>
    <w:uiPriority w:val="99"/>
    <w:semiHidden/>
    <w:unhideWhenUsed/>
    <w:qFormat/>
    <w:rsid w:val="00DF3E72"/>
    <w:rPr>
      <w:sz w:val="21"/>
      <w:szCs w:val="21"/>
    </w:rPr>
  </w:style>
  <w:style w:type="character" w:customStyle="1" w:styleId="aa">
    <w:name w:val="页眉 字符"/>
    <w:basedOn w:val="a0"/>
    <w:link w:val="a9"/>
    <w:uiPriority w:val="99"/>
    <w:qFormat/>
    <w:rsid w:val="00DF3E72"/>
    <w:rPr>
      <w:sz w:val="18"/>
      <w:szCs w:val="18"/>
    </w:rPr>
  </w:style>
  <w:style w:type="character" w:customStyle="1" w:styleId="a8">
    <w:name w:val="页脚 字符"/>
    <w:basedOn w:val="a0"/>
    <w:link w:val="a7"/>
    <w:uiPriority w:val="99"/>
    <w:rsid w:val="00DF3E72"/>
    <w:rPr>
      <w:sz w:val="18"/>
      <w:szCs w:val="18"/>
    </w:rPr>
  </w:style>
  <w:style w:type="paragraph" w:styleId="af">
    <w:name w:val="List Paragraph"/>
    <w:basedOn w:val="a"/>
    <w:uiPriority w:val="34"/>
    <w:qFormat/>
    <w:rsid w:val="00DF3E72"/>
    <w:pPr>
      <w:ind w:firstLineChars="200" w:firstLine="420"/>
    </w:pPr>
  </w:style>
  <w:style w:type="character" w:customStyle="1" w:styleId="a6">
    <w:name w:val="批注框文本 字符"/>
    <w:basedOn w:val="a0"/>
    <w:link w:val="a5"/>
    <w:uiPriority w:val="99"/>
    <w:semiHidden/>
    <w:rsid w:val="00DF3E72"/>
    <w:rPr>
      <w:rFonts w:ascii="Times New Roman" w:eastAsia="宋体" w:hAnsi="Times New Roman" w:cs="Times New Roman"/>
      <w:sz w:val="18"/>
      <w:szCs w:val="18"/>
    </w:rPr>
  </w:style>
  <w:style w:type="character" w:customStyle="1" w:styleId="a4">
    <w:name w:val="批注文字 字符"/>
    <w:basedOn w:val="a0"/>
    <w:link w:val="a3"/>
    <w:uiPriority w:val="99"/>
    <w:semiHidden/>
    <w:qFormat/>
    <w:rsid w:val="00DF3E72"/>
    <w:rPr>
      <w:rFonts w:ascii="Times New Roman" w:eastAsia="宋体" w:hAnsi="Times New Roman" w:cs="Times New Roman"/>
      <w:szCs w:val="24"/>
    </w:rPr>
  </w:style>
  <w:style w:type="character" w:customStyle="1" w:styleId="ac">
    <w:name w:val="批注主题 字符"/>
    <w:basedOn w:val="a4"/>
    <w:link w:val="ab"/>
    <w:uiPriority w:val="99"/>
    <w:semiHidden/>
    <w:qFormat/>
    <w:rsid w:val="00DF3E72"/>
    <w:rPr>
      <w:rFonts w:ascii="Times New Roman" w:eastAsia="宋体" w:hAnsi="Times New Roman" w:cs="Times New Roman"/>
      <w:b/>
      <w:bCs/>
      <w:szCs w:val="24"/>
    </w:rPr>
  </w:style>
  <w:style w:type="character" w:customStyle="1" w:styleId="10">
    <w:name w:val="标题 1 字符"/>
    <w:basedOn w:val="a0"/>
    <w:link w:val="1"/>
    <w:rsid w:val="00DF3E72"/>
    <w:rPr>
      <w:rFonts w:ascii="Times New Roman" w:eastAsia="等线" w:hAnsi="Times New Roman" w:cs="Times New Roman"/>
      <w:b/>
      <w:kern w:val="28"/>
      <w:sz w:val="28"/>
      <w:szCs w:val="28"/>
      <w:lang w:eastAsia="ja-JP"/>
    </w:rPr>
  </w:style>
  <w:style w:type="character" w:customStyle="1" w:styleId="20">
    <w:name w:val="标题 2 字符"/>
    <w:basedOn w:val="a0"/>
    <w:link w:val="2"/>
    <w:qFormat/>
    <w:rsid w:val="00DF3E72"/>
    <w:rPr>
      <w:rFonts w:ascii="Times New Roman" w:eastAsia="等线" w:hAnsi="Times New Roman" w:cs="Times New Roman"/>
      <w:b/>
      <w:kern w:val="28"/>
      <w:sz w:val="28"/>
      <w:szCs w:val="28"/>
      <w:lang w:eastAsia="ja-JP"/>
    </w:rPr>
  </w:style>
  <w:style w:type="character" w:customStyle="1" w:styleId="30">
    <w:name w:val="标题 3 字符"/>
    <w:basedOn w:val="a0"/>
    <w:link w:val="3"/>
    <w:qFormat/>
    <w:rsid w:val="00DF3E72"/>
    <w:rPr>
      <w:rFonts w:ascii="Times New Roman" w:eastAsia="等线" w:hAnsi="Times New Roman" w:cs="Times New Roman"/>
      <w:b/>
      <w:kern w:val="28"/>
      <w:sz w:val="28"/>
      <w:szCs w:val="28"/>
      <w:lang w:eastAsia="ja-JP"/>
    </w:rPr>
  </w:style>
  <w:style w:type="character" w:customStyle="1" w:styleId="40">
    <w:name w:val="标题 4 字符"/>
    <w:basedOn w:val="a0"/>
    <w:link w:val="4"/>
    <w:qFormat/>
    <w:rsid w:val="00DF3E72"/>
    <w:rPr>
      <w:rFonts w:ascii="Times New Roman" w:eastAsia="等线" w:hAnsi="Times New Roman" w:cs="Times New Roman"/>
      <w:b/>
      <w:kern w:val="28"/>
      <w:sz w:val="28"/>
      <w:szCs w:val="28"/>
      <w:lang w:eastAsia="ja-JP"/>
    </w:rPr>
  </w:style>
  <w:style w:type="character" w:customStyle="1" w:styleId="50">
    <w:name w:val="标题 5 字符"/>
    <w:basedOn w:val="a0"/>
    <w:link w:val="5"/>
    <w:rsid w:val="00DF3E72"/>
    <w:rPr>
      <w:rFonts w:ascii="Times New Roman" w:eastAsia="等线" w:hAnsi="Times New Roman" w:cs="Times New Roman"/>
      <w:b/>
      <w:kern w:val="28"/>
      <w:sz w:val="28"/>
      <w:szCs w:val="28"/>
      <w:lang w:eastAsia="ja-JP"/>
    </w:rPr>
  </w:style>
  <w:style w:type="character" w:customStyle="1" w:styleId="60">
    <w:name w:val="标题 6 字符"/>
    <w:basedOn w:val="a0"/>
    <w:link w:val="6"/>
    <w:qFormat/>
    <w:rsid w:val="00DF3E72"/>
    <w:rPr>
      <w:rFonts w:ascii="Times New Roman" w:eastAsia="等线" w:hAnsi="Times New Roman" w:cs="Times New Roman"/>
      <w:b/>
      <w:kern w:val="28"/>
      <w:sz w:val="28"/>
      <w:szCs w:val="28"/>
      <w:lang w:eastAsia="ja-JP"/>
    </w:rPr>
  </w:style>
  <w:style w:type="character" w:customStyle="1" w:styleId="70">
    <w:name w:val="标题 7 字符"/>
    <w:basedOn w:val="a0"/>
    <w:link w:val="7"/>
    <w:qFormat/>
    <w:rsid w:val="00DF3E72"/>
    <w:rPr>
      <w:rFonts w:ascii="Times New Roman" w:eastAsia="等线" w:hAnsi="Times New Roman" w:cs="Times New Roman"/>
      <w:b/>
      <w:kern w:val="28"/>
      <w:sz w:val="28"/>
      <w:szCs w:val="28"/>
      <w:lang w:eastAsia="ja-JP"/>
    </w:rPr>
  </w:style>
  <w:style w:type="character" w:customStyle="1" w:styleId="80">
    <w:name w:val="标题 8 字符"/>
    <w:basedOn w:val="a0"/>
    <w:link w:val="8"/>
    <w:rsid w:val="00DF3E72"/>
    <w:rPr>
      <w:rFonts w:ascii="Times New Roman" w:eastAsia="等线" w:hAnsi="Times New Roman" w:cs="Times New Roman"/>
      <w:b/>
      <w:kern w:val="28"/>
      <w:sz w:val="28"/>
      <w:szCs w:val="28"/>
      <w:lang w:eastAsia="ja-JP"/>
    </w:rPr>
  </w:style>
  <w:style w:type="character" w:customStyle="1" w:styleId="90">
    <w:name w:val="标题 9 字符"/>
    <w:basedOn w:val="a0"/>
    <w:link w:val="9"/>
    <w:rsid w:val="00DF3E72"/>
    <w:rPr>
      <w:rFonts w:ascii="Times New Roman" w:eastAsia="等线" w:hAnsi="Times New Roman" w:cs="Times New Roman"/>
      <w:b/>
      <w:kern w:val="28"/>
      <w:sz w:val="28"/>
      <w:szCs w:val="28"/>
      <w:lang w:eastAsia="ja-JP"/>
    </w:rPr>
  </w:style>
  <w:style w:type="character" w:styleId="af0">
    <w:name w:val="Placeholder Text"/>
    <w:basedOn w:val="a0"/>
    <w:uiPriority w:val="99"/>
    <w:semiHidden/>
    <w:rsid w:val="0041765E"/>
    <w:rPr>
      <w:color w:val="808080"/>
    </w:rPr>
  </w:style>
  <w:style w:type="paragraph" w:styleId="af1">
    <w:name w:val="Revision"/>
    <w:hidden/>
    <w:uiPriority w:val="99"/>
    <w:semiHidden/>
    <w:rsid w:val="00863C9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582B-6CA3-4794-A8E0-490EB000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程玮璐</dc:creator>
  <cp:lastModifiedBy>邱宏</cp:lastModifiedBy>
  <cp:revision>7</cp:revision>
  <cp:lastPrinted>2023-11-28T00:51:00Z</cp:lastPrinted>
  <dcterms:created xsi:type="dcterms:W3CDTF">2023-11-28T00:50:00Z</dcterms:created>
  <dcterms:modified xsi:type="dcterms:W3CDTF">2023-12-01T08:13:00Z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95448B65FDB84CE5B96F1C991C608B2A</vt:lpwstr>
  </property>
</Properties>
</file>